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auto"/>
          <w:sz w:val="72"/>
          <w:szCs w:val="72"/>
          <w:highlight w:val="none"/>
        </w:rPr>
      </w:pPr>
      <w:r/>
      <w:bookmarkStart w:id="7" w:name="_GoBack"/>
      <w:r/>
      <w:r/>
    </w:p>
    <w:p>
      <w:pPr>
        <w:jc w:val="center"/>
        <w:rPr>
          <w:rFonts w:ascii="宋体" w:hAnsi="宋体"/>
          <w:b/>
          <w:color w:val="auto"/>
          <w:sz w:val="116"/>
          <w:szCs w:val="72"/>
          <w:highlight w:val="none"/>
        </w:rPr>
      </w:pPr>
      <w:r>
        <w:rPr>
          <w:rFonts w:hint="eastAsia" w:ascii="宋体" w:hAnsi="宋体"/>
          <w:b/>
          <w:color w:val="auto"/>
          <w:sz w:val="116"/>
          <w:szCs w:val="72"/>
          <w:highlight w:val="none"/>
        </w:rPr>
        <w:t xml:space="preserve">竞 争 性 磋 商</w:t>
      </w:r>
      <w:r/>
    </w:p>
    <w:p>
      <w:pPr>
        <w:jc w:val="center"/>
        <w:rPr>
          <w:rFonts w:ascii="宋体" w:hAnsi="宋体"/>
          <w:b/>
          <w:color w:val="auto"/>
          <w:sz w:val="144"/>
          <w:szCs w:val="72"/>
          <w:highlight w:val="none"/>
        </w:rPr>
      </w:pPr>
      <w:r>
        <w:rPr>
          <w:rFonts w:hint="eastAsia" w:ascii="宋体" w:hAnsi="宋体"/>
          <w:b/>
          <w:color w:val="auto"/>
          <w:sz w:val="116"/>
          <w:szCs w:val="72"/>
          <w:highlight w:val="none"/>
        </w:rPr>
        <w:t xml:space="preserve">采 购 文 件</w:t>
      </w:r>
      <w:r/>
    </w:p>
    <w:p>
      <w:pPr>
        <w:rPr>
          <w:rFonts w:ascii="宋体" w:hAnsi="宋体"/>
          <w:b/>
          <w:color w:val="auto"/>
          <w:sz w:val="48"/>
          <w:szCs w:val="48"/>
          <w:highlight w:val="none"/>
        </w:rPr>
      </w:pPr>
      <w:r>
        <w:rPr>
          <w:rFonts w:ascii="宋体" w:hAnsi="宋体"/>
          <w:b/>
          <w:color w:val="auto"/>
          <w:sz w:val="48"/>
          <w:szCs w:val="48"/>
          <w:highlight w:val="none"/>
        </w:rPr>
      </w:r>
      <w:r/>
    </w:p>
    <w:p>
      <w:pPr>
        <w:rPr>
          <w:rFonts w:ascii="宋体" w:hAnsi="宋体"/>
          <w:b/>
          <w:color w:val="auto"/>
          <w:sz w:val="48"/>
          <w:szCs w:val="48"/>
          <w:highlight w:val="none"/>
        </w:rPr>
      </w:pPr>
      <w:r>
        <w:rPr>
          <w:rFonts w:ascii="宋体" w:hAnsi="宋体"/>
          <w:b/>
          <w:color w:val="auto"/>
          <w:sz w:val="48"/>
          <w:szCs w:val="48"/>
          <w:highlight w:val="none"/>
        </w:rPr>
      </w:r>
      <w:r/>
    </w:p>
    <w:p>
      <w:pPr>
        <w:ind w:firstLine="1680"/>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采购编号：</w:t>
      </w:r>
      <w:r>
        <w:rPr>
          <w:rFonts w:hint="eastAsia" w:ascii="宋体" w:hAnsi="宋体"/>
          <w:b/>
          <w:color w:val="auto"/>
          <w:sz w:val="28"/>
          <w:szCs w:val="28"/>
          <w:highlight w:val="none"/>
          <w:lang w:eastAsia="zh-CN"/>
        </w:rPr>
        <w:t xml:space="preserve">JSZC-320508-SZYX-C2026-0020</w:t>
      </w:r>
      <w:r/>
    </w:p>
    <w:p>
      <w:pPr>
        <w:ind w:firstLine="1680"/>
        <w:rPr>
          <w:rFonts w:ascii="宋体" w:hAnsi="宋体"/>
          <w:b/>
          <w:color w:val="auto"/>
          <w:sz w:val="28"/>
          <w:szCs w:val="28"/>
          <w:highlight w:val="none"/>
        </w:rPr>
      </w:pPr>
      <w:r>
        <w:rPr>
          <w:rFonts w:hint="eastAsia" w:ascii="宋体" w:hAnsi="宋体"/>
          <w:b/>
          <w:color w:val="auto"/>
          <w:sz w:val="28"/>
          <w:szCs w:val="28"/>
          <w:highlight w:val="none"/>
          <w:lang w:eastAsia="zh-CN"/>
        </w:rPr>
        <w:t xml:space="preserve">采购人</w:t>
      </w:r>
      <w:r>
        <w:rPr>
          <w:rFonts w:hint="eastAsia" w:ascii="宋体" w:hAnsi="宋体"/>
          <w:b/>
          <w:color w:val="auto"/>
          <w:sz w:val="28"/>
          <w:szCs w:val="28"/>
          <w:highlight w:val="none"/>
        </w:rPr>
        <w:t xml:space="preserve">：苏州国家历史文化名城保护区（姑苏）生态环境局</w:t>
      </w:r>
      <w:r/>
    </w:p>
    <w:p>
      <w:pPr>
        <w:ind w:firstLine="1680"/>
        <w:rPr>
          <w:rFonts w:ascii="宋体" w:hAnsi="宋体"/>
          <w:b/>
          <w:color w:val="auto"/>
          <w:sz w:val="28"/>
          <w:szCs w:val="28"/>
          <w:highlight w:val="none"/>
        </w:rPr>
      </w:pPr>
      <w:r>
        <w:rPr>
          <w:rFonts w:hint="eastAsia" w:ascii="宋体" w:hAnsi="宋体"/>
          <w:b/>
          <w:color w:val="auto"/>
          <w:sz w:val="28"/>
          <w:szCs w:val="28"/>
          <w:highlight w:val="none"/>
        </w:rPr>
        <w:t xml:space="preserve">采购内容：</w:t>
      </w:r>
      <w:bookmarkStart w:id="0" w:name="OLE_LINK9"/>
      <w:r>
        <w:rPr>
          <w:rFonts w:hint="eastAsia" w:ascii="宋体" w:hAnsi="宋体"/>
          <w:b/>
          <w:color w:val="auto"/>
          <w:sz w:val="28"/>
          <w:szCs w:val="28"/>
          <w:highlight w:val="none"/>
          <w:lang w:eastAsia="zh-CN"/>
        </w:rPr>
        <w:t xml:space="preserve">苏州市姑苏区大气精细化协同治理服务</w:t>
      </w:r>
      <w:bookmarkEnd w:id="0"/>
      <w:r/>
      <w:r/>
    </w:p>
    <w:p>
      <w:pPr>
        <w:rPr>
          <w:rFonts w:ascii="宋体" w:hAnsi="宋体"/>
          <w:color w:val="auto"/>
          <w:sz w:val="28"/>
          <w:szCs w:val="28"/>
          <w:highlight w:val="none"/>
        </w:rPr>
      </w:pPr>
      <w:r>
        <w:rPr>
          <w:rFonts w:ascii="宋体" w:hAnsi="宋体"/>
          <w:color w:val="auto"/>
          <w:sz w:val="28"/>
          <w:szCs w:val="28"/>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ascii="宋体" w:hAnsi="宋体"/>
          <w:color w:val="auto"/>
          <w:sz w:val="28"/>
          <w:szCs w:val="28"/>
          <w:highlight w:val="none"/>
        </w:rPr>
      </w:pPr>
      <w:r>
        <w:rPr>
          <w:rFonts w:hint="eastAsia"/>
          <w:color w:val="auto"/>
          <w:highlight w:val="none"/>
        </w:rPr>
        <mc:AlternateContent>
          <mc:Choice Requires="wpg">
            <w:drawing>
              <wp:inline xmlns:wp="http://schemas.openxmlformats.org/drawingml/2006/wordprocessingDrawing" distT="0" distB="0" distL="0" distR="0">
                <wp:extent cx="2009775" cy="18288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3" o:title=""/>
              </v:shape>
            </w:pict>
          </mc:Fallback>
        </mc:AlternateConten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Cs w:val="21"/>
          <w:highlight w:val="none"/>
        </w:rPr>
      </w:pPr>
      <w:r>
        <w:rPr>
          <w:rFonts w:ascii="宋体" w:hAnsi="宋体"/>
          <w:color w:val="auto"/>
          <w:szCs w:val="21"/>
          <w:highlight w:val="none"/>
        </w:rPr>
      </w:r>
      <w:r/>
    </w:p>
    <w:p>
      <w:pPr>
        <w:pStyle w:val="1019"/>
        <w:ind w:firstLine="560"/>
        <w:rPr>
          <w:color w:val="auto"/>
          <w:sz w:val="28"/>
          <w:szCs w:val="28"/>
          <w:highlight w:val="none"/>
        </w:rPr>
      </w:pPr>
      <w:r>
        <w:rPr>
          <w:color w:val="auto"/>
          <w:sz w:val="28"/>
          <w:szCs w:val="28"/>
          <w:highlight w:val="none"/>
        </w:rPr>
      </w:r>
      <w:r/>
    </w:p>
    <w:p>
      <w:pPr>
        <w:jc w:val="center"/>
        <w:rPr>
          <w:rFonts w:ascii="宋体" w:hAnsi="宋体"/>
          <w:b/>
          <w:color w:val="auto"/>
          <w:sz w:val="32"/>
          <w:szCs w:val="28"/>
          <w:highlight w:val="none"/>
        </w:rPr>
      </w:pPr>
      <w:r>
        <w:rPr>
          <w:rFonts w:hint="eastAsia" w:ascii="宋体" w:hAnsi="宋体"/>
          <w:b/>
          <w:color w:val="auto"/>
          <w:sz w:val="32"/>
          <w:szCs w:val="28"/>
          <w:highlight w:val="none"/>
        </w:rPr>
        <w:t xml:space="preserve">苏州市原鑫招投标咨询服务有限公司</w:t>
      </w:r>
      <w:r/>
    </w:p>
    <w:p>
      <w:pPr>
        <w:jc w:val="center"/>
        <w:rPr>
          <w:rFonts w:ascii="宋体" w:hAnsi="宋体"/>
          <w:b/>
          <w:color w:val="auto"/>
          <w:sz w:val="32"/>
          <w:szCs w:val="28"/>
          <w:highlight w:val="none"/>
        </w:rPr>
      </w:pPr>
      <w:r>
        <w:rPr>
          <w:rFonts w:hint="eastAsia" w:ascii="宋体" w:hAnsi="宋体"/>
          <w:b/>
          <w:color w:val="auto"/>
          <w:sz w:val="32"/>
          <w:szCs w:val="28"/>
          <w:highlight w:val="none"/>
        </w:rPr>
        <w:t xml:space="preserve">二〇二</w:t>
      </w:r>
      <w:r>
        <w:rPr>
          <w:rFonts w:hint="eastAsia" w:ascii="宋体" w:hAnsi="宋体"/>
          <w:b/>
          <w:color w:val="auto"/>
          <w:sz w:val="32"/>
          <w:szCs w:val="28"/>
          <w:highlight w:val="none"/>
          <w:lang w:val="en-US" w:eastAsia="zh-CN"/>
        </w:rPr>
        <w:t xml:space="preserve">六</w:t>
      </w:r>
      <w:r>
        <w:rPr>
          <w:rFonts w:hint="eastAsia" w:ascii="宋体" w:hAnsi="宋体"/>
          <w:b/>
          <w:color w:val="auto"/>
          <w:sz w:val="32"/>
          <w:szCs w:val="28"/>
          <w:highlight w:val="none"/>
        </w:rPr>
        <w:t xml:space="preserve">年</w:t>
      </w:r>
      <w:r>
        <w:rPr>
          <w:rFonts w:hint="eastAsia" w:ascii="宋体" w:hAnsi="宋体"/>
          <w:b/>
          <w:color w:val="auto"/>
          <w:sz w:val="32"/>
          <w:szCs w:val="28"/>
          <w:highlight w:val="none"/>
          <w:lang w:val="en-US" w:eastAsia="zh-CN"/>
        </w:rPr>
        <w:t xml:space="preserve">七</w:t>
      </w:r>
      <w:r>
        <w:rPr>
          <w:rFonts w:hint="eastAsia" w:ascii="宋体" w:hAnsi="宋体"/>
          <w:b/>
          <w:color w:val="auto"/>
          <w:sz w:val="32"/>
          <w:szCs w:val="28"/>
          <w:highlight w:val="none"/>
        </w:rPr>
        <w:t xml:space="preserve">月</w:t>
      </w:r>
      <w:r/>
    </w:p>
    <w:p>
      <w:pPr>
        <w:jc w:val="center"/>
        <w:spacing w:line="720" w:lineRule="auto"/>
        <w:rPr>
          <w:rFonts w:ascii="宋体" w:hAnsi="宋体"/>
          <w:b/>
          <w:color w:val="auto"/>
          <w:sz w:val="32"/>
          <w:highlight w:val="none"/>
        </w:rPr>
      </w:pPr>
      <w:r>
        <w:rPr>
          <w:rFonts w:ascii="宋体" w:hAnsi="宋体"/>
          <w:b/>
          <w:color w:val="auto"/>
          <w:sz w:val="32"/>
          <w:highlight w:val="none"/>
        </w:rPr>
        <w:br w:type="page" w:clear="all"/>
      </w:r>
      <w:r/>
    </w:p>
    <w:p>
      <w:pPr>
        <w:jc w:val="center"/>
        <w:spacing w:line="720" w:lineRule="auto"/>
        <w:rPr>
          <w:rFonts w:ascii="宋体" w:hAnsi="宋体"/>
          <w:b/>
          <w:color w:val="auto"/>
          <w:sz w:val="32"/>
          <w:highlight w:val="none"/>
        </w:rPr>
      </w:pPr>
      <w:r>
        <w:rPr>
          <w:rFonts w:ascii="宋体" w:hAnsi="宋体"/>
          <w:b/>
          <w:color w:val="auto"/>
          <w:sz w:val="32"/>
          <w:highlight w:val="none"/>
        </w:rPr>
      </w:r>
      <w:r/>
    </w:p>
    <w:p>
      <w:pPr>
        <w:jc w:val="center"/>
        <w:spacing w:line="720" w:lineRule="auto"/>
        <w:rPr>
          <w:rFonts w:hint="eastAsia" w:ascii="宋体" w:hAnsi="宋体"/>
          <w:b/>
          <w:color w:val="auto"/>
          <w:sz w:val="56"/>
          <w:szCs w:val="48"/>
          <w:highlight w:val="none"/>
          <w:lang w:val="en-US" w:eastAsia="zh-CN"/>
        </w:rPr>
      </w:pPr>
      <w:r>
        <w:rPr>
          <w:rFonts w:hint="eastAsia" w:ascii="宋体" w:hAnsi="宋体"/>
          <w:b/>
          <w:color w:val="auto"/>
          <w:sz w:val="56"/>
          <w:szCs w:val="48"/>
          <w:highlight w:val="none"/>
          <w:lang w:val="en-US" w:eastAsia="zh-CN"/>
        </w:rPr>
      </w:r>
      <w:r/>
    </w:p>
    <w:p>
      <w:pPr>
        <w:jc w:val="center"/>
        <w:spacing w:line="720" w:lineRule="auto"/>
        <w:rPr>
          <w:rFonts w:hint="eastAsia" w:ascii="宋体" w:hAnsi="宋体"/>
          <w:b/>
          <w:color w:val="auto"/>
          <w:sz w:val="56"/>
          <w:szCs w:val="48"/>
          <w:highlight w:val="none"/>
          <w:lang w:val="en-US" w:eastAsia="zh-CN"/>
        </w:rPr>
      </w:pPr>
      <w:r>
        <w:rPr>
          <w:rFonts w:hint="eastAsia" w:ascii="宋体" w:hAnsi="宋体"/>
          <w:b/>
          <w:color w:val="auto"/>
          <w:sz w:val="56"/>
          <w:szCs w:val="48"/>
          <w:highlight w:val="none"/>
          <w:lang w:val="en-US" w:eastAsia="zh-CN"/>
        </w:rPr>
        <w:t xml:space="preserve">目录</w:t>
      </w:r>
      <w:r/>
    </w:p>
    <w:p>
      <w:pPr>
        <w:pStyle w:val="974"/>
        <w:rPr>
          <w:rFonts w:hint="eastAsia" w:ascii="宋体" w:hAnsi="宋体"/>
          <w:b/>
          <w:color w:val="auto"/>
          <w:sz w:val="56"/>
          <w:szCs w:val="48"/>
          <w:highlight w:val="none"/>
          <w:lang w:val="en-US" w:eastAsia="zh-CN"/>
        </w:rPr>
      </w:pPr>
      <w:r>
        <w:rPr>
          <w:rFonts w:hint="eastAsia" w:ascii="宋体" w:hAnsi="宋体"/>
          <w:b/>
          <w:color w:val="auto"/>
          <w:sz w:val="56"/>
          <w:szCs w:val="48"/>
          <w:highlight w:val="none"/>
          <w:lang w:val="en-US" w:eastAsia="zh-CN"/>
        </w:rPr>
      </w:r>
      <w:r/>
    </w:p>
    <w:p>
      <w:pPr>
        <w:pStyle w:val="987"/>
        <w:rPr>
          <w:rFonts w:hint="eastAsia"/>
          <w:color w:val="auto"/>
          <w:highlight w:val="none"/>
          <w:lang w:val="en-US" w:eastAsia="zh-CN"/>
        </w:rPr>
      </w:pPr>
      <w:r>
        <w:rPr>
          <w:rFonts w:hint="eastAsia"/>
          <w:color w:val="auto"/>
          <w:highlight w:val="none"/>
          <w:lang w:val="en-US" w:eastAsia="zh-CN"/>
        </w:rPr>
      </w:r>
      <w:r/>
    </w:p>
    <w:p>
      <w:pPr>
        <w:jc w:val="both"/>
        <w:rPr>
          <w:rFonts w:hint="eastAsia"/>
          <w:b/>
          <w:color w:val="auto"/>
          <w:sz w:val="32"/>
          <w:szCs w:val="32"/>
          <w:highlight w:val="none"/>
        </w:rPr>
      </w:pPr>
      <w:r>
        <w:rPr>
          <w:rFonts w:hint="eastAsia"/>
          <w:b/>
          <w:color w:val="auto"/>
          <w:sz w:val="32"/>
          <w:szCs w:val="32"/>
          <w:highlight w:val="none"/>
        </w:rPr>
      </w:r>
      <w:r/>
    </w:p>
    <w:p>
      <w:pPr>
        <w:ind w:left="0" w:firstLine="838"/>
        <w:jc w:val="both"/>
        <w:spacing w:line="720" w:lineRule="auto"/>
        <w:rPr>
          <w:b/>
          <w:color w:val="auto"/>
          <w:sz w:val="32"/>
          <w:szCs w:val="32"/>
          <w:highlight w:val="none"/>
        </w:rPr>
      </w:pPr>
      <w:r>
        <w:rPr>
          <w:rFonts w:hint="eastAsia"/>
          <w:b/>
          <w:color w:val="auto"/>
          <w:sz w:val="32"/>
          <w:szCs w:val="32"/>
          <w:highlight w:val="none"/>
        </w:rPr>
        <w:t xml:space="preserve">一、</w:t>
      </w:r>
      <w:r>
        <w:rPr>
          <w:rFonts w:hint="eastAsia" w:ascii="宋体" w:hAnsi="宋体"/>
          <w:b/>
          <w:color w:val="auto"/>
          <w:sz w:val="32"/>
          <w:szCs w:val="32"/>
          <w:highlight w:val="none"/>
        </w:rPr>
        <w:t xml:space="preserve">竞争性磋商公告</w:t>
      </w:r>
      <w:r/>
    </w:p>
    <w:p>
      <w:pPr>
        <w:pStyle w:val="987"/>
        <w:ind w:left="0" w:firstLine="838"/>
        <w:spacing w:line="720" w:lineRule="auto"/>
        <w:rPr>
          <w:rFonts w:hint="eastAsia"/>
          <w:color w:val="auto"/>
          <w:sz w:val="32"/>
          <w:szCs w:val="32"/>
          <w:highlight w:val="none"/>
          <w:lang w:val="en-US" w:eastAsia="zh-CN"/>
        </w:rPr>
      </w:pPr>
      <w:r>
        <w:rPr>
          <w:rFonts w:hint="eastAsia" w:ascii="宋体" w:hAnsi="宋体"/>
          <w:b/>
          <w:color w:val="auto"/>
          <w:sz w:val="32"/>
          <w:szCs w:val="32"/>
          <w:highlight w:val="none"/>
        </w:rPr>
        <w:t xml:space="preserve">二、采购需求及磋商程序</w:t>
      </w:r>
      <w:r/>
    </w:p>
    <w:p>
      <w:pPr>
        <w:ind w:left="0" w:firstLine="838"/>
        <w:spacing w:line="720" w:lineRule="auto"/>
        <w:rPr>
          <w:rFonts w:hint="eastAsia"/>
          <w:b/>
          <w:color w:val="auto"/>
          <w:sz w:val="32"/>
          <w:szCs w:val="32"/>
          <w:highlight w:val="none"/>
        </w:rPr>
      </w:pPr>
      <w:r>
        <w:rPr>
          <w:rFonts w:hint="eastAsia"/>
          <w:b/>
          <w:color w:val="auto"/>
          <w:sz w:val="32"/>
          <w:szCs w:val="32"/>
          <w:highlight w:val="none"/>
        </w:rPr>
        <w:t xml:space="preserve">三、磋商成交原则及评分标准</w:t>
      </w:r>
      <w:r/>
    </w:p>
    <w:p>
      <w:pPr>
        <w:pStyle w:val="974"/>
        <w:ind w:left="0" w:firstLine="838"/>
        <w:spacing w:line="72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四、合同主要条款</w:t>
      </w:r>
      <w:r/>
    </w:p>
    <w:p>
      <w:pPr>
        <w:pStyle w:val="987"/>
        <w:ind w:left="0" w:firstLine="838"/>
        <w:spacing w:line="720" w:lineRule="auto"/>
        <w:rPr>
          <w:rFonts w:hint="eastAsia"/>
          <w:color w:val="auto"/>
          <w:sz w:val="32"/>
          <w:szCs w:val="32"/>
          <w:highlight w:val="none"/>
        </w:rPr>
      </w:pPr>
      <w:r>
        <w:rPr>
          <w:rFonts w:hint="eastAsia" w:ascii="宋体" w:hAnsi="宋体"/>
          <w:b/>
          <w:color w:val="auto"/>
          <w:sz w:val="32"/>
          <w:szCs w:val="32"/>
          <w:highlight w:val="none"/>
        </w:rPr>
        <w:t xml:space="preserve">五、响应文件参考格式</w:t>
      </w:r>
      <w:r/>
    </w:p>
    <w:p>
      <w:pPr>
        <w:rPr>
          <w:rFonts w:hint="eastAsia"/>
          <w:b/>
          <w:color w:val="auto"/>
          <w:sz w:val="32"/>
          <w:szCs w:val="32"/>
          <w:highlight w:val="none"/>
        </w:rPr>
      </w:pPr>
      <w:r>
        <w:rPr>
          <w:rFonts w:hint="eastAsia"/>
          <w:b/>
          <w:color w:val="auto"/>
          <w:sz w:val="32"/>
          <w:szCs w:val="32"/>
          <w:highlight w:val="none"/>
        </w:rPr>
        <w:br w:type="page" w:clear="all"/>
      </w:r>
      <w:r/>
    </w:p>
    <w:p>
      <w:pPr>
        <w:jc w:val="center"/>
        <w:rPr>
          <w:b/>
          <w:color w:val="auto"/>
          <w:sz w:val="32"/>
          <w:szCs w:val="32"/>
          <w:highlight w:val="none"/>
        </w:rPr>
      </w:pPr>
      <w:r>
        <w:rPr>
          <w:rFonts w:hint="eastAsia"/>
          <w:b/>
          <w:color w:val="auto"/>
          <w:sz w:val="32"/>
          <w:szCs w:val="32"/>
          <w:highlight w:val="none"/>
        </w:rPr>
        <w:t xml:space="preserve">一、</w:t>
      </w:r>
      <w:r>
        <w:rPr>
          <w:rFonts w:hint="eastAsia" w:ascii="宋体" w:hAnsi="宋体"/>
          <w:b/>
          <w:color w:val="auto"/>
          <w:sz w:val="32"/>
          <w:highlight w:val="none"/>
        </w:rPr>
        <w:t xml:space="preserve">竞争性磋商公告</w:t>
      </w:r>
      <w:r/>
    </w:p>
    <w:tbl>
      <w:tblPr>
        <w:tblStyle w:val="962"/>
        <w:tblW w:w="9889"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苏州市姑苏区大气精细化协同治理服务</w:t>
            </w:r>
            <w:r>
              <w:rPr>
                <w:rFonts w:hint="eastAsia"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江苏省政府采购一体化平台“苏采云”系统</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lang w:eastAsia="zh-CN"/>
              </w:rPr>
              <w:t xml:space="preserve">2026年7月</w:t>
            </w:r>
            <w:r>
              <w:rPr>
                <w:rFonts w:hint="eastAsia" w:ascii="宋体" w:hAnsi="宋体" w:cs="宋体"/>
                <w:color w:val="auto"/>
                <w:szCs w:val="21"/>
                <w:highlight w:val="none"/>
                <w:u w:val="single"/>
                <w:lang w:val="en-US" w:eastAsia="zh-CN"/>
              </w:rPr>
              <w:t xml:space="preserve">27</w:t>
            </w:r>
            <w:r>
              <w:rPr>
                <w:rFonts w:hint="eastAsia" w:ascii="宋体" w:hAnsi="宋体" w:cs="宋体"/>
                <w:color w:val="auto"/>
                <w:szCs w:val="21"/>
                <w:highlight w:val="none"/>
                <w:u w:val="single"/>
                <w:lang w:eastAsia="zh-CN"/>
              </w:rPr>
              <w:t xml:space="preserve">日</w:t>
            </w:r>
            <w:r>
              <w:rPr>
                <w:rFonts w:hint="eastAsia" w:ascii="宋体" w:hAnsi="宋体" w:cs="宋体"/>
                <w:color w:val="auto"/>
                <w:szCs w:val="21"/>
                <w:highlight w:val="none"/>
                <w:u w:val="single"/>
                <w:lang w:val="en-US" w:eastAsia="zh-CN"/>
              </w:rPr>
              <w:t xml:space="preserve">13</w:t>
            </w:r>
            <w:r>
              <w:rPr>
                <w:rFonts w:hint="eastAsia" w:ascii="宋体" w:hAnsi="宋体" w:cs="宋体"/>
                <w:color w:val="auto"/>
                <w:szCs w:val="21"/>
                <w:highlight w:val="none"/>
                <w:u w:val="single"/>
              </w:rPr>
              <w:t xml:space="preserve">：30</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tc>
      </w:tr>
    </w:tbl>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一、项目基本情况</w:t>
      </w:r>
      <w:r/>
    </w:p>
    <w:p>
      <w:pPr>
        <w:ind w:firstLine="420"/>
        <w:jc w:val="left"/>
        <w:spacing w:line="38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JSZC-320508-SZYX-C2026-0020</w:t>
      </w:r>
      <w:r/>
    </w:p>
    <w:p>
      <w:pPr>
        <w:ind w:firstLine="420"/>
        <w:jc w:val="left"/>
        <w:spacing w:line="380" w:lineRule="exact"/>
        <w:widowControl/>
        <w:rPr>
          <w:rFonts w:hint="eastAsia" w:ascii="宋体" w:hAnsi="宋体" w:cs="宋体"/>
          <w:color w:val="auto"/>
          <w:szCs w:val="21"/>
          <w:highlight w:val="none"/>
          <w:lang w:val="en-US" w:eastAsia="zh-CN"/>
        </w:rPr>
      </w:pPr>
      <w:r/>
      <w:bookmarkStart w:id="1" w:name="OLE_LINK10"/>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苏州市姑苏区大气精细化协同治理服务，</w:t>
      </w:r>
      <w:r>
        <w:rPr>
          <w:rFonts w:hint="eastAsia" w:ascii="宋体" w:hAnsi="宋体" w:cs="宋体"/>
          <w:color w:val="auto"/>
          <w:szCs w:val="21"/>
          <w:highlight w:val="none"/>
          <w:lang w:val="en-US" w:eastAsia="zh-CN"/>
        </w:rPr>
        <w:t xml:space="preserve">其中：</w:t>
      </w:r>
      <w:r/>
    </w:p>
    <w:p>
      <w:pPr>
        <w:ind w:firstLine="420"/>
        <w:jc w:val="left"/>
        <w:spacing w:line="380" w:lineRule="exac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一标段：</w:t>
      </w:r>
      <w:r>
        <w:rPr>
          <w:rFonts w:hint="eastAsia" w:ascii="宋体" w:hAnsi="宋体" w:cs="宋体"/>
          <w:b w:val="0"/>
          <w:bCs w:val="0"/>
          <w:color w:val="auto"/>
          <w:sz w:val="21"/>
          <w:szCs w:val="21"/>
          <w:highlight w:val="none"/>
          <w:lang w:val="en-US" w:eastAsia="zh-CN" w:bidi="ar"/>
        </w:rPr>
        <w:t xml:space="preserve">环境空气质量巡查服务</w:t>
      </w:r>
      <w:r/>
    </w:p>
    <w:p>
      <w:pPr>
        <w:ind w:firstLine="420"/>
        <w:jc w:val="left"/>
        <w:spacing w:line="380" w:lineRule="exac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二标段：</w:t>
      </w:r>
      <w:r>
        <w:rPr>
          <w:rFonts w:hint="eastAsia" w:ascii="宋体" w:hAnsi="宋体" w:cs="宋体"/>
          <w:b w:val="0"/>
          <w:bCs w:val="0"/>
          <w:color w:val="auto"/>
          <w:sz w:val="21"/>
          <w:szCs w:val="21"/>
          <w:highlight w:val="none"/>
          <w:lang w:val="en-US" w:eastAsia="zh-CN" w:bidi="ar"/>
        </w:rPr>
        <w:t xml:space="preserve">环境空气质量保障服务</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jc w:val="left"/>
        <w:spacing w:line="38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eastAsia="zh-CN"/>
        </w:rPr>
        <w:t xml:space="preserve">人民币</w:t>
      </w:r>
      <w:r>
        <w:rPr>
          <w:rFonts w:hint="eastAsia" w:ascii="宋体" w:hAnsi="宋体" w:cs="宋体"/>
          <w:color w:val="auto"/>
          <w:szCs w:val="21"/>
          <w:highlight w:val="none"/>
          <w:lang w:val="en-US" w:eastAsia="zh-CN"/>
        </w:rPr>
        <w:t xml:space="preserve">壹佰贰拾万</w:t>
      </w:r>
      <w:r>
        <w:rPr>
          <w:rFonts w:hint="eastAsia" w:ascii="宋体" w:hAnsi="宋体" w:cs="宋体"/>
          <w:color w:val="auto"/>
          <w:szCs w:val="21"/>
          <w:highlight w:val="none"/>
          <w:lang w:eastAsia="zh-CN"/>
        </w:rPr>
        <w:t xml:space="preserve">元整（￥1</w:t>
      </w:r>
      <w:r>
        <w:rPr>
          <w:rFonts w:hint="eastAsia" w:ascii="宋体" w:hAnsi="宋体" w:cs="宋体"/>
          <w:color w:val="auto"/>
          <w:szCs w:val="21"/>
          <w:highlight w:val="none"/>
          <w:lang w:val="en-US" w:eastAsia="zh-CN"/>
        </w:rPr>
        <w:t xml:space="preserve">200</w:t>
      </w:r>
      <w:r>
        <w:rPr>
          <w:rFonts w:hint="eastAsia" w:ascii="宋体" w:hAnsi="宋体" w:cs="宋体"/>
          <w:color w:val="auto"/>
          <w:szCs w:val="21"/>
          <w:highlight w:val="none"/>
          <w:lang w:eastAsia="zh-CN"/>
        </w:rPr>
        <w:t xml:space="preserve">000.00），</w:t>
      </w:r>
      <w:r>
        <w:rPr>
          <w:rFonts w:hint="eastAsia" w:ascii="宋体" w:hAnsi="宋体" w:cs="宋体"/>
          <w:color w:val="auto"/>
          <w:szCs w:val="21"/>
          <w:highlight w:val="none"/>
          <w:lang w:val="en-US" w:eastAsia="zh-CN"/>
        </w:rPr>
        <w:t xml:space="preserve">其中：</w:t>
      </w:r>
      <w:r/>
    </w:p>
    <w:p>
      <w:pPr>
        <w:ind w:firstLine="420"/>
        <w:jc w:val="left"/>
        <w:spacing w:line="380" w:lineRule="exac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一标段：人民币肆拾万元整（￥400000.00）</w:t>
      </w:r>
      <w:r/>
    </w:p>
    <w:p>
      <w:pPr>
        <w:ind w:firstLine="420"/>
        <w:jc w:val="left"/>
        <w:spacing w:line="380" w:lineRule="exac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二标段：人民币捌拾万元整（￥800000.00）</w:t>
      </w:r>
      <w:r/>
    </w:p>
    <w:p>
      <w:pPr>
        <w:ind w:firstLine="420"/>
        <w:jc w:val="left"/>
        <w:spacing w:line="380" w:lineRule="exact"/>
        <w:widowControl/>
        <w:rPr>
          <w:rFonts w:hint="eastAsia" w:eastAsia="宋体" w:cs="宋体"/>
          <w:color w:val="auto"/>
          <w:szCs w:val="21"/>
          <w:highlight w:val="none"/>
          <w:lang w:eastAsia="zh-CN"/>
        </w:rPr>
      </w:pPr>
      <w:r>
        <w:rPr>
          <w:rFonts w:hint="eastAsia" w:ascii="宋体" w:hAnsi="宋体" w:cs="宋体"/>
          <w:color w:val="auto"/>
          <w:szCs w:val="21"/>
          <w:highlight w:val="none"/>
        </w:rPr>
        <w:t xml:space="preserve">5.最高</w:t>
      </w:r>
      <w:r>
        <w:rPr>
          <w:rFonts w:hint="eastAsia" w:ascii="宋体" w:hAnsi="宋体" w:cs="宋体"/>
          <w:color w:val="auto"/>
          <w:szCs w:val="21"/>
          <w:highlight w:val="none"/>
        </w:rPr>
        <w:t xml:space="preserve">限价：</w:t>
      </w:r>
      <w:bookmarkStart w:id="2" w:name="OLE_LINK4"/>
      <w:r>
        <w:rPr>
          <w:rFonts w:hint="eastAsia" w:ascii="宋体" w:hAnsi="宋体" w:cs="宋体"/>
          <w:color w:val="auto"/>
          <w:szCs w:val="21"/>
          <w:highlight w:val="none"/>
          <w:lang w:val="en-US" w:eastAsia="zh-CN"/>
        </w:rPr>
        <w:t xml:space="preserve">无</w:t>
      </w:r>
      <w:r>
        <w:rPr>
          <w:rFonts w:hint="eastAsia" w:ascii="宋体" w:hAnsi="宋体" w:cs="宋体"/>
          <w:color w:val="auto"/>
          <w:szCs w:val="21"/>
          <w:highlight w:val="none"/>
        </w:rPr>
        <w:t xml:space="preserve">。</w:t>
      </w:r>
      <w:bookmarkEnd w:id="2"/>
      <w:r/>
      <w:bookmarkEnd w:id="1"/>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6.采购需求：</w:t>
      </w:r>
      <w:r/>
    </w:p>
    <w:p>
      <w:pPr>
        <w:ind w:firstLine="420"/>
        <w:spacing w:line="400" w:lineRule="exact"/>
        <w:rPr>
          <w:rFonts w:hint="eastAsia" w:ascii="宋体" w:cs="宋体"/>
          <w:color w:val="auto"/>
          <w:szCs w:val="21"/>
          <w:highlight w:val="none"/>
        </w:rPr>
      </w:pPr>
      <w:r>
        <w:rPr>
          <w:rFonts w:hint="eastAsia" w:ascii="宋体" w:cs="宋体"/>
          <w:color w:val="auto"/>
          <w:szCs w:val="21"/>
          <w:highlight w:val="none"/>
        </w:rPr>
        <w:t xml:space="preserve">(1)服务内容：</w:t>
      </w:r>
      <w:r/>
    </w:p>
    <w:p>
      <w:pPr>
        <w:ind w:firstLine="420"/>
        <w:spacing w:line="400" w:lineRule="exact"/>
        <w:rPr>
          <w:rFonts w:hint="eastAsia" w:ascii="宋体" w:cs="宋体"/>
          <w:color w:val="auto"/>
          <w:szCs w:val="21"/>
          <w:highlight w:val="none"/>
          <w:lang w:val="en-US" w:eastAsia="zh-CN"/>
        </w:rPr>
      </w:pPr>
      <w:r>
        <w:rPr>
          <w:rFonts w:hint="eastAsia" w:ascii="宋体" w:cs="宋体"/>
          <w:color w:val="auto"/>
          <w:szCs w:val="21"/>
          <w:highlight w:val="none"/>
          <w:lang w:val="en-US" w:eastAsia="zh-CN"/>
        </w:rPr>
        <w:t xml:space="preserve">一标段：提供空气质量巡查以及大气污染防治相关工作技术支持，保障完成年度目标任务。</w:t>
      </w:r>
      <w:r/>
    </w:p>
    <w:p>
      <w:pPr>
        <w:pStyle w:val="974"/>
        <w:rPr>
          <w:rFonts w:hint="eastAsia"/>
          <w:color w:val="auto"/>
          <w:highlight w:val="none"/>
          <w:lang w:val="en-US" w:eastAsia="zh-CN"/>
        </w:rPr>
      </w:pPr>
      <w:r>
        <w:rPr>
          <w:rFonts w:hint="eastAsia" w:ascii="宋体" w:hAnsi="宋体" w:cs="宋体"/>
          <w:b w:val="0"/>
          <w:bCs w:val="0"/>
          <w:color w:val="auto"/>
          <w:sz w:val="21"/>
          <w:szCs w:val="21"/>
          <w:highlight w:val="none"/>
          <w:lang w:val="en-US" w:eastAsia="zh-CN" w:bidi="ar"/>
        </w:rPr>
        <w:t xml:space="preserve">二标段：提供</w:t>
      </w:r>
      <w:r>
        <w:rPr>
          <w:rFonts w:hint="eastAsia" w:ascii="宋体" w:hAnsi="宋体" w:eastAsia="宋体" w:cs="宋体"/>
          <w:b w:val="0"/>
          <w:bCs w:val="0"/>
          <w:color w:val="auto"/>
          <w:sz w:val="21"/>
          <w:szCs w:val="21"/>
          <w:highlight w:val="none"/>
          <w:lang w:val="en-US" w:eastAsia="zh-CN" w:bidi="ar"/>
        </w:rPr>
        <w:t xml:space="preserve">空气质量提升环境服务，</w:t>
      </w:r>
      <w:r>
        <w:rPr>
          <w:rFonts w:hint="eastAsia" w:ascii="宋体" w:hAnsi="宋体" w:cs="宋体"/>
          <w:b w:val="0"/>
          <w:bCs w:val="0"/>
          <w:color w:val="auto"/>
          <w:sz w:val="21"/>
          <w:szCs w:val="21"/>
          <w:highlight w:val="none"/>
          <w:lang w:val="en-US" w:eastAsia="zh-CN" w:bidi="ar"/>
        </w:rPr>
        <w:t xml:space="preserve">开展</w:t>
      </w:r>
      <w:r>
        <w:rPr>
          <w:rFonts w:hint="eastAsia" w:ascii="宋体" w:hAnsi="宋体" w:eastAsia="宋体" w:cs="宋体"/>
          <w:b w:val="0"/>
          <w:bCs w:val="0"/>
          <w:color w:val="auto"/>
          <w:sz w:val="21"/>
          <w:szCs w:val="21"/>
          <w:highlight w:val="none"/>
          <w:lang w:val="en-US" w:eastAsia="zh-CN" w:bidi="ar"/>
        </w:rPr>
        <w:t xml:space="preserve">应急走航监测、道路积尘负荷走航监测、空气质量研判分析等服务。</w:t>
      </w:r>
      <w:r/>
    </w:p>
    <w:p>
      <w:pPr>
        <w:pStyle w:val="1019"/>
        <w:ind w:firstLine="420"/>
        <w:spacing w:line="400" w:lineRule="exact"/>
        <w:rPr>
          <w:rFonts w:cs="宋体"/>
          <w:color w:val="auto"/>
          <w:sz w:val="21"/>
          <w:szCs w:val="21"/>
          <w:highlight w:val="none"/>
        </w:rPr>
      </w:pPr>
      <w:r>
        <w:rPr>
          <w:rFonts w:hint="eastAsia" w:cs="宋体"/>
          <w:color w:val="auto"/>
          <w:sz w:val="21"/>
          <w:szCs w:val="21"/>
          <w:highlight w:val="none"/>
          <w:lang w:val="en-US" w:eastAsia="zh-CN"/>
        </w:rPr>
        <w:t xml:space="preserve">7.</w:t>
      </w:r>
      <w:r>
        <w:rPr>
          <w:rFonts w:hint="eastAsia" w:cs="宋体"/>
          <w:color w:val="auto"/>
          <w:sz w:val="21"/>
          <w:szCs w:val="21"/>
          <w:highlight w:val="none"/>
        </w:rPr>
        <w:t xml:space="preserve">合同履约期限</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一、二标段均为</w:t>
      </w:r>
      <w:r>
        <w:rPr>
          <w:rFonts w:hint="eastAsia" w:ascii="宋体" w:hAnsi="宋体" w:eastAsia="宋体" w:cs="宋体"/>
          <w:color w:val="auto"/>
          <w:sz w:val="21"/>
          <w:szCs w:val="21"/>
          <w:highlight w:val="none"/>
        </w:rPr>
        <w:t xml:space="preserve">合同签订后12个月</w:t>
      </w:r>
      <w:r>
        <w:rPr>
          <w:rFonts w:hint="eastAsia" w:cs="宋体"/>
          <w:color w:val="auto"/>
          <w:sz w:val="21"/>
          <w:szCs w:val="21"/>
          <w:highlight w:val="none"/>
        </w:rPr>
        <w:t xml:space="preserve">。</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.本项目不接受联合体响应。</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二、申请人的资格要求：</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(5)参加政府采购活动前三年内，在经营活动中没有出现重大违法记录；</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本项目专门面向中小微企业采购，本项目为其他未列明行业。供应商须提供中小企业声明函或残疾人福利性单位声明函或省级以上监狱管理局、戒毒管理局（含新疆生产建设兵团）出具的属于监狱企业的证明文件。</w:t>
      </w:r>
      <w:r/>
    </w:p>
    <w:p>
      <w:pPr>
        <w:ind w:left="42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left="420"/>
        <w:spacing w:line="40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bookmarkStart w:id="3" w:name="OLE_LINK1"/>
      <w:r>
        <w:rPr>
          <w:rFonts w:hint="eastAsia" w:ascii="宋体" w:hAnsi="宋体" w:cs="宋体"/>
          <w:color w:val="auto"/>
          <w:szCs w:val="21"/>
          <w:highlight w:val="none"/>
        </w:rPr>
        <w:t xml:space="preserve">未被列入失信被执行人、重大税收违法案件当事人名单、政府采购严重失信行为记录名单</w:t>
      </w:r>
      <w:bookmarkEnd w:id="3"/>
      <w:r>
        <w:rPr>
          <w:rFonts w:hint="eastAsia" w:ascii="宋体" w:hAnsi="宋体" w:cs="宋体"/>
          <w:color w:val="auto"/>
          <w:szCs w:val="21"/>
          <w:highlight w:val="none"/>
          <w:lang w:eastAsia="zh-CN"/>
        </w:rPr>
        <w:t xml:space="preserve">。</w:t>
      </w:r>
      <w:r/>
    </w:p>
    <w:p>
      <w:pPr>
        <w:ind w:left="42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三、获取采购文件：</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1.时间：采购公告发布之日起</w:t>
      </w:r>
      <w:r>
        <w:rPr>
          <w:rFonts w:hint="eastAsia" w:ascii="宋体" w:hAnsi="宋体" w:cs="宋体"/>
          <w:color w:val="auto"/>
          <w:szCs w:val="21"/>
          <w:highlight w:val="none"/>
          <w:lang w:val="en-US" w:eastAsia="zh-CN"/>
        </w:rPr>
        <w:t xml:space="preserve">五个工作日</w:t>
      </w:r>
      <w:r>
        <w:rPr>
          <w:rFonts w:hint="eastAsia" w:ascii="宋体" w:hAnsi="宋体" w:cs="宋体"/>
          <w:color w:val="auto"/>
          <w:szCs w:val="21"/>
          <w:highlight w:val="none"/>
        </w:rPr>
        <w:t xml:space="preserve">。</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rPr>
        <w:t xml:space="preserve">江苏省政府采购一体化平台“苏采云”系统自行下载</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3.方式：登录江苏省政府采购一体化平台“苏采云”系统，确认参与项目后自行下载</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四、响应文件提交</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截止时间：2026年7月27日13：30</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五、开启</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时间：2026年7月27日13：30</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 w:val="21"/>
          <w:szCs w:val="21"/>
          <w:highlight w:val="none"/>
          <w:shd w:val="clear" w:color="auto" w:fill="auto"/>
        </w:rPr>
        <w:t xml:space="preserve">苏州市市辖区【狮山科技馆】不见面开标室（虚拟开标室）</w:t>
      </w:r>
      <w:r>
        <w:rPr>
          <w:rFonts w:hint="eastAsia" w:ascii="宋体" w:hAnsi="宋体" w:cs="宋体"/>
          <w:color w:val="auto"/>
          <w:szCs w:val="21"/>
          <w:highlight w:val="none"/>
        </w:rPr>
        <w:t xml:space="preserve">。</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六、公告期限：自本公告发布之日起3个工作日。</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七、其他相关事宜：</w:t>
      </w:r>
      <w:r/>
    </w:p>
    <w:p>
      <w:pPr>
        <w:ind w:firstLine="420"/>
        <w:jc w:val="left"/>
        <w:spacing w:line="380" w:lineRule="exact"/>
        <w:widowControl/>
        <w:rPr>
          <w:rFonts w:hint="eastAsia" w:ascii="宋体" w:hAnsi="宋体" w:cs="宋体"/>
          <w:color w:val="auto"/>
          <w:szCs w:val="21"/>
          <w:highlight w:val="none"/>
        </w:rPr>
      </w:pPr>
      <w:r/>
      <w:bookmarkStart w:id="4" w:name="OLE_LINK5"/>
      <w:r>
        <w:rPr>
          <w:rFonts w:hint="eastAsia" w:ascii="宋体" w:hAnsi="宋体" w:cs="宋体"/>
          <w:color w:val="auto"/>
          <w:szCs w:val="21"/>
          <w:highlight w:val="none"/>
        </w:rPr>
        <w:t xml:space="preserve">1.CA证书办</w:t>
      </w:r>
      <w:r>
        <w:rPr>
          <w:rFonts w:hint="eastAsia" w:ascii="宋体" w:hAnsi="宋体" w:cs="宋体"/>
          <w:color w:val="auto"/>
          <w:szCs w:val="21"/>
          <w:highlight w:val="none"/>
        </w:rPr>
        <w:t xml:space="preserve">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3.技术服务咨询电话：CA技术咨询电话：400-608-6099；电子签章技术咨询电话：025-83633811、025-83633812、15380932027、15371015030；系统使用指导与咨询电话：18261002950（不见面项目）QQ：3048755361、895706745。</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未依照招标公告要求获取招标文件的响应单位，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6.线上参加开标（开启）会方式：供应商登录“苏采云”系统，点击“开标大厅”，选择对应项目，点击进入不见面开标系统。</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7.本项目为不见面开标（开启）项目，开启阶段供应商在【解密环节】必须使用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8.请供应商确保电脑、系统及其他设备（视频输入输出设备等）无误，且开启直至项目结束始终保持系统在线状态。</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9.本公告同时在江苏省政府采购网、苏州市政府采购网上发布。</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根据苏州市财政局《关于深入开展苏州市政府采购合同信用融资业务的通知》相关要求，本项目支持政府采购合同信用融资。</w:t>
      </w:r>
      <w:bookmarkEnd w:id="4"/>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八、对本次采购提出询问，请按以下方式联系：</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名称：苏州国家历史文化名城保护区（姑苏）生态环境局</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联系地址：苏州市平川路510号</w:t>
      </w:r>
      <w:r/>
    </w:p>
    <w:p>
      <w:pPr>
        <w:ind w:firstLine="420"/>
        <w:jc w:val="left"/>
        <w:spacing w:line="38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庄瑶</w:t>
      </w:r>
      <w:r/>
    </w:p>
    <w:p>
      <w:pPr>
        <w:ind w:firstLine="420"/>
        <w:jc w:val="left"/>
        <w:spacing w:line="38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0512-68725611</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2.采购代理机构</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名称：苏州市原鑫招投标咨询服务有限公司</w:t>
      </w:r>
      <w:r/>
    </w:p>
    <w:p>
      <w:pPr>
        <w:ind w:firstLine="420"/>
        <w:jc w:val="left"/>
        <w:spacing w:line="38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苏州工业园区苏州大道西313号嘉实大厦东楼5楼</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联系方式：0512-68364647、68361806*8002</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项目联系人：金健、周详、祝晓忠、周悦婷</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电话：0512-68364647、68361806*8002</w:t>
      </w:r>
      <w:r/>
    </w:p>
    <w:p>
      <w:pPr>
        <w:jc w:val="center"/>
        <w:spacing w:line="480" w:lineRule="auto"/>
        <w:tabs>
          <w:tab w:val="left" w:pos="426" w:leader="none"/>
          <w:tab w:val="left" w:pos="709" w:leader="none"/>
        </w:tabs>
        <w:rPr>
          <w:rFonts w:ascii="宋体" w:hAnsi="宋体"/>
          <w:b/>
          <w:bCs/>
          <w:color w:val="auto"/>
          <w:sz w:val="32"/>
          <w:szCs w:val="32"/>
          <w:highlight w:val="none"/>
        </w:rPr>
      </w:pPr>
      <w:r>
        <w:rPr>
          <w:rFonts w:ascii="宋体" w:hAnsi="宋体" w:cs="宋体"/>
          <w:color w:val="auto"/>
          <w:szCs w:val="21"/>
          <w:highlight w:val="none"/>
        </w:rPr>
        <w:br w:type="page" w:clear="all"/>
      </w:r>
      <w:r>
        <w:rPr>
          <w:rFonts w:hint="eastAsia" w:ascii="宋体" w:hAnsi="宋体"/>
          <w:b/>
          <w:color w:val="auto"/>
          <w:sz w:val="32"/>
          <w:highlight w:val="none"/>
        </w:rPr>
        <w:t xml:space="preserve">二、采购需求及磋商程序</w:t>
      </w:r>
      <w:r/>
    </w:p>
    <w:p>
      <w:pPr>
        <w:ind w:firstLine="525"/>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苏州市原鑫招投标咨询服务有限公司受苏州国家历史文化名城保护区（姑苏）生态环境局的委托，就其所需要采购的</w:t>
      </w:r>
      <w:r>
        <w:rPr>
          <w:rFonts w:hint="eastAsia" w:ascii="宋体" w:hAnsi="宋体"/>
          <w:color w:val="auto"/>
          <w:szCs w:val="21"/>
          <w:highlight w:val="none"/>
          <w:lang w:eastAsia="zh-CN"/>
        </w:rPr>
        <w:t xml:space="preserve">苏州市姑苏区大气精细化协同治理服务</w:t>
      </w:r>
      <w:r>
        <w:rPr>
          <w:rFonts w:hint="eastAsia" w:ascii="宋体" w:hAnsi="宋体" w:cs="宋体"/>
          <w:color w:val="auto"/>
          <w:szCs w:val="21"/>
          <w:highlight w:val="none"/>
        </w:rPr>
        <w:t xml:space="preserve">在国内组织竞争性磋商采购。欢迎符合采购文件资格条件的供应商前来参加磋商。</w:t>
      </w:r>
      <w:r/>
    </w:p>
    <w:p>
      <w:pPr>
        <w:numPr>
          <w:ilvl w:val="0"/>
          <w:numId w:val="5"/>
        </w:numPr>
        <w:ind w:left="567" w:hanging="567"/>
        <w:keepLines w:val="0"/>
        <w:keepNext w:val="0"/>
        <w:pageBreakBefore w:val="0"/>
        <w:spacing w:line="400" w:lineRule="exact"/>
        <w:tabs>
          <w:tab w:val="clear" w:pos="420" w:leader="none"/>
          <w:tab w:val="left" w:pos="567" w:leader="none"/>
        </w:tabs>
        <w:rPr>
          <w:rFonts w:ascii="宋体" w:hAnsi="宋体"/>
          <w:bCs/>
          <w:color w:val="auto"/>
          <w:szCs w:val="21"/>
          <w:highlight w:val="none"/>
        </w:rPr>
        <w:outlineLvl w:val="9"/>
      </w:pPr>
      <w:r>
        <w:rPr>
          <w:rFonts w:hint="eastAsia" w:ascii="宋体" w:hAnsi="宋体"/>
          <w:bCs/>
          <w:color w:val="auto"/>
          <w:szCs w:val="21"/>
          <w:highlight w:val="none"/>
        </w:rPr>
        <w:t xml:space="preserve">采购编号：</w:t>
      </w:r>
      <w:r>
        <w:rPr>
          <w:rFonts w:hint="eastAsia" w:ascii="宋体" w:hAnsi="宋体"/>
          <w:bCs/>
          <w:color w:val="auto"/>
          <w:szCs w:val="21"/>
          <w:highlight w:val="none"/>
          <w:lang w:eastAsia="zh-CN"/>
        </w:rPr>
        <w:t xml:space="preserve">JSZC-320508-SZYX-C2026-0020</w:t>
      </w:r>
      <w:r/>
    </w:p>
    <w:p>
      <w:pPr>
        <w:numPr>
          <w:ilvl w:val="0"/>
          <w:numId w:val="5"/>
        </w:numPr>
        <w:ind w:left="567" w:hanging="567"/>
        <w:keepLines w:val="0"/>
        <w:keepNext w:val="0"/>
        <w:pageBreakBefore w:val="0"/>
        <w:spacing w:line="400" w:lineRule="exact"/>
        <w:tabs>
          <w:tab w:val="clear" w:pos="420" w:leader="none"/>
          <w:tab w:val="left" w:pos="567" w:leader="none"/>
        </w:tabs>
        <w:rPr>
          <w:rFonts w:ascii="宋体" w:hAnsi="宋体"/>
          <w:bCs/>
          <w:color w:val="auto"/>
          <w:szCs w:val="21"/>
          <w:highlight w:val="none"/>
        </w:rPr>
        <w:outlineLvl w:val="9"/>
      </w:pPr>
      <w:r>
        <w:rPr>
          <w:rFonts w:hint="eastAsia" w:ascii="宋体" w:hAnsi="宋体"/>
          <w:color w:val="auto"/>
          <w:szCs w:val="21"/>
          <w:highlight w:val="none"/>
        </w:rPr>
        <w:t xml:space="preserve">采购内容：</w:t>
      </w:r>
      <w:r>
        <w:rPr>
          <w:rFonts w:hint="eastAsia" w:ascii="宋体" w:hAnsi="宋体" w:cs="宋体"/>
          <w:color w:val="auto"/>
          <w:szCs w:val="21"/>
          <w:highlight w:val="none"/>
          <w:lang w:eastAsia="zh-CN"/>
        </w:rPr>
        <w:t xml:space="preserve">苏州市姑苏区大气精细化协同治理服务</w:t>
      </w:r>
      <w:r/>
    </w:p>
    <w:p>
      <w:pPr>
        <w:numPr>
          <w:ilvl w:val="0"/>
          <w:numId w:val="5"/>
        </w:numPr>
        <w:ind w:left="567" w:hanging="567"/>
        <w:keepLines w:val="0"/>
        <w:keepNext w:val="0"/>
        <w:pageBreakBefore w:val="0"/>
        <w:spacing w:line="400" w:lineRule="exact"/>
        <w:tabs>
          <w:tab w:val="clear" w:pos="420" w:leader="none"/>
          <w:tab w:val="left" w:pos="567" w:leader="none"/>
        </w:tabs>
        <w:rPr>
          <w:rFonts w:ascii="宋体" w:hAnsi="宋体"/>
          <w:color w:val="auto"/>
          <w:szCs w:val="21"/>
          <w:highlight w:val="none"/>
        </w:rPr>
        <w:outlineLvl w:val="9"/>
      </w:pPr>
      <w:r>
        <w:rPr>
          <w:rFonts w:hint="eastAsia" w:ascii="宋体" w:hAnsi="宋体"/>
          <w:color w:val="auto"/>
          <w:szCs w:val="21"/>
          <w:highlight w:val="none"/>
        </w:rPr>
        <w:t xml:space="preserve">采购需求：</w:t>
      </w:r>
      <w:r/>
    </w:p>
    <w:p>
      <w:pPr>
        <w:jc w:val="center"/>
        <w:keepLines w:val="0"/>
        <w:keepNext w:val="0"/>
        <w:pageBreakBefore w:val="0"/>
        <w:spacing w:line="400" w:lineRule="exact"/>
        <w:widowControl w:val="off"/>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rPr>
        <w:t xml:space="preserve">一标段</w:t>
      </w:r>
      <w:r/>
    </w:p>
    <w:p>
      <w:pPr>
        <w:pStyle w:val="1122"/>
        <w:numPr>
          <w:ilvl w:val="0"/>
          <w:numId w:val="6"/>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项目概述</w:t>
      </w:r>
      <w:r/>
    </w:p>
    <w:p>
      <w:pPr>
        <w:pStyle w:val="1122"/>
        <w:numPr>
          <w:ilvl w:val="0"/>
          <w:numId w:val="0"/>
        </w:numPr>
        <w:ind w:firstLine="567"/>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提供空气质量巡查以及大气污染防治相关工作技术支持，保障完成年度目标任务。</w:t>
      </w:r>
      <w:r/>
    </w:p>
    <w:p>
      <w:pPr>
        <w:numPr>
          <w:ilvl w:val="0"/>
          <w:numId w:val="7"/>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空气质量巡查服务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val="en-US" w:eastAsia="zh-CN"/>
        </w:rPr>
        <w:t xml:space="preserve">姑苏区辖区</w:t>
      </w:r>
      <w:r>
        <w:rPr>
          <w:rFonts w:hint="eastAsia" w:ascii="宋体" w:hAnsi="宋体" w:eastAsia="宋体" w:cs="宋体"/>
          <w:color w:val="auto"/>
          <w:sz w:val="21"/>
          <w:szCs w:val="21"/>
          <w:highlight w:val="none"/>
        </w:rPr>
        <w:t xml:space="preserve">内涉气点源开展巡查，对点源情况予以现场确认，及时反馈异常信息，包括但不限于日常巡查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每周至少一次</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、数据高值异常巡查、大气污染过程应对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重污染天气管控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重大活动保障以及其它甲方要求的临时管控。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动态更新</w:t>
      </w:r>
      <w:r>
        <w:rPr>
          <w:rFonts w:hint="eastAsia" w:ascii="宋体" w:hAnsi="宋体" w:cs="宋体"/>
          <w:color w:val="auto"/>
          <w:sz w:val="21"/>
          <w:szCs w:val="21"/>
          <w:highlight w:val="none"/>
          <w:lang w:val="en-US" w:eastAsia="zh-CN"/>
        </w:rPr>
        <w:t xml:space="preserve">涉气</w:t>
      </w:r>
      <w:r>
        <w:rPr>
          <w:rFonts w:hint="eastAsia" w:ascii="宋体" w:hAnsi="宋体" w:eastAsia="宋体" w:cs="宋体"/>
          <w:color w:val="auto"/>
          <w:sz w:val="21"/>
          <w:szCs w:val="21"/>
          <w:highlight w:val="none"/>
        </w:rPr>
        <w:t xml:space="preserve">污染源清单，结合上风向、管控距离、管控要求等梳理各类点源清单。</w:t>
      </w:r>
      <w:r/>
    </w:p>
    <w:p>
      <w:pPr>
        <w:numPr>
          <w:ilvl w:val="0"/>
          <w:numId w:val="7"/>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专项技术服务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提供重污染天气应急减排清单修订及豁免企业申报、大气污染物与温室气体融合排放</w:t>
      </w:r>
      <w:r>
        <w:rPr>
          <w:rFonts w:hint="eastAsia" w:cs="Times New Roman"/>
          <w:color w:val="auto"/>
          <w:szCs w:val="21"/>
          <w:highlight w:val="none"/>
          <w:lang w:val="en-US" w:eastAsia="zh-CN"/>
        </w:rPr>
        <w:t xml:space="preserve">清单编制</w:t>
      </w:r>
      <w:r>
        <w:rPr>
          <w:rFonts w:hint="eastAsia" w:ascii="宋体" w:hAnsi="宋体" w:eastAsia="宋体" w:cs="宋体"/>
          <w:color w:val="auto"/>
          <w:sz w:val="21"/>
          <w:szCs w:val="21"/>
          <w:highlight w:val="none"/>
        </w:rPr>
        <w:t xml:space="preserve">、消耗臭氧层物质备案及数据报送核查工作的技术支持，</w:t>
      </w:r>
      <w:r>
        <w:rPr>
          <w:rFonts w:hint="eastAsia" w:ascii="宋体" w:hAnsi="宋体" w:eastAsia="宋体" w:cs="宋体"/>
          <w:color w:val="auto"/>
          <w:sz w:val="21"/>
          <w:szCs w:val="21"/>
          <w:highlight w:val="none"/>
          <w:lang w:eastAsia="zh-CN"/>
        </w:rPr>
        <w:t xml:space="preserve">协助开展</w:t>
      </w:r>
      <w:r>
        <w:rPr>
          <w:rFonts w:hint="eastAsia" w:ascii="宋体" w:hAnsi="宋体" w:eastAsia="宋体" w:cs="宋体"/>
          <w:color w:val="auto"/>
          <w:sz w:val="21"/>
          <w:szCs w:val="21"/>
          <w:highlight w:val="none"/>
        </w:rPr>
        <w:t xml:space="preserve">相关培训、企业指导以及申报材料评估、表单编制校核等。</w:t>
      </w:r>
      <w:r/>
    </w:p>
    <w:p>
      <w:pPr>
        <w:pStyle w:val="1122"/>
        <w:numPr>
          <w:ilvl w:val="0"/>
          <w:numId w:val="6"/>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项目具体服务内容</w:t>
      </w:r>
      <w:r/>
    </w:p>
    <w:p>
      <w:pPr>
        <w:pStyle w:val="1122"/>
        <w:numPr>
          <w:ilvl w:val="0"/>
          <w:numId w:val="0"/>
        </w:numPr>
        <w:ind w:firstLine="567"/>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提供规范化的空气质量巡查及专项技术服务，建立“现场排查-数据分析-清单编制”的技术支持体系，保障完成年度大气污染防治目标任务。</w:t>
      </w:r>
      <w:r/>
    </w:p>
    <w:p>
      <w:pPr>
        <w:numPr>
          <w:ilvl w:val="0"/>
          <w:numId w:val="8"/>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常态化与精准化空气质量巡查</w:t>
      </w:r>
      <w:r/>
    </w:p>
    <w:p>
      <w:pPr>
        <w:numPr>
          <w:ilvl w:val="0"/>
          <w:numId w:val="9"/>
        </w:numPr>
        <w:ind w:firstLine="420"/>
        <w:keepLines w:val="0"/>
        <w:keepNext w:val="0"/>
        <w:pageBreakBefore w:val="0"/>
        <w:spacing w:line="40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提供空气质量精细化巡查与突发高值响应服务：组建专职巡查团队，针对姑苏区辖区涉气点源，开展现场日常巡查；充分发挥人员专业优势，运用立体多维的巡查手段，重点核实工地扬尘压减情况；针对日常巡查、监测数据突发高值、重污染天气应急提级、重大活动保障及临时管控等各类应用场景，建立快速响应机制，第一时间赶赴现场开展污染源头精准辨识与定位；现场发现的各类涉气环境问题，需做到即时拍照和规范记录，并于巡查结束当日以微信笔记形式高效报送采购人，支撑异常污染线索的即时交办与整改跟进。</w:t>
      </w:r>
      <w:r/>
    </w:p>
    <w:p>
      <w:pPr>
        <w:numPr>
          <w:ilvl w:val="0"/>
          <w:numId w:val="9"/>
        </w:num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提供涉气污染</w:t>
      </w:r>
      <w:r>
        <w:rPr>
          <w:rFonts w:hint="eastAsia" w:ascii="宋体" w:hAnsi="宋体" w:eastAsia="宋体" w:cs="宋体"/>
          <w:color w:val="auto"/>
          <w:sz w:val="21"/>
          <w:szCs w:val="21"/>
          <w:highlight w:val="none"/>
        </w:rPr>
        <w:t xml:space="preserve">源清单常态化梳理：结合</w:t>
      </w:r>
      <w:r>
        <w:rPr>
          <w:rFonts w:hint="eastAsia" w:ascii="宋体" w:hAnsi="宋体" w:cs="宋体"/>
          <w:color w:val="auto"/>
          <w:sz w:val="21"/>
          <w:szCs w:val="21"/>
          <w:highlight w:val="none"/>
          <w:lang w:val="en-US" w:eastAsia="zh-CN"/>
        </w:rPr>
        <w:t xml:space="preserve">日常巡查、</w:t>
      </w:r>
      <w:r>
        <w:rPr>
          <w:rFonts w:hint="eastAsia" w:ascii="宋体" w:hAnsi="宋体" w:eastAsia="宋体" w:cs="宋体"/>
          <w:color w:val="auto"/>
          <w:sz w:val="21"/>
          <w:szCs w:val="21"/>
          <w:highlight w:val="none"/>
        </w:rPr>
        <w:t xml:space="preserve">气象条件（季节性主导风向与实时风场）、空间管控距离及阶段性环境管理诉求，对区域内的工业源、扬尘源、生活源等各类涉气点源进行分类梳理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动态更新</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在电子地图上更新完善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为采购人在不同气象条件下的精准施策与调度提供扎实的底层数据支撑。</w:t>
      </w:r>
      <w:r/>
    </w:p>
    <w:p>
      <w:pPr>
        <w:numPr>
          <w:ilvl w:val="0"/>
          <w:numId w:val="8"/>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专项技术服务</w:t>
      </w:r>
      <w:r/>
    </w:p>
    <w:p>
      <w:pPr>
        <w:pStyle w:val="1122"/>
        <w:numPr>
          <w:ilvl w:val="0"/>
          <w:numId w:val="0"/>
        </w:numPr>
        <w:ind w:firstLine="567"/>
        <w:keepLines w:val="0"/>
        <w:keepNext w:val="0"/>
        <w:pageBreakBefore w:val="0"/>
        <w:spacing w:line="400" w:lineRule="exact"/>
        <w:rPr>
          <w:rFonts w:hint="eastAsia" w:ascii="宋体" w:hAnsi="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配合</w:t>
      </w:r>
      <w:r>
        <w:rPr>
          <w:rFonts w:hint="eastAsia" w:ascii="宋体" w:hAnsi="宋体" w:eastAsia="宋体" w:cs="宋体"/>
          <w:color w:val="auto"/>
          <w:sz w:val="21"/>
          <w:szCs w:val="21"/>
          <w:highlight w:val="none"/>
          <w:lang w:eastAsia="zh-CN"/>
        </w:rPr>
        <w:t xml:space="preserve">协助</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eastAsia="zh-CN"/>
        </w:rPr>
        <w:t xml:space="preserve">开展</w:t>
      </w:r>
      <w:r>
        <w:rPr>
          <w:rFonts w:hint="eastAsia" w:ascii="宋体" w:hAnsi="宋体" w:eastAsia="宋体" w:cs="宋体"/>
          <w:color w:val="auto"/>
          <w:sz w:val="21"/>
          <w:szCs w:val="21"/>
          <w:highlight w:val="none"/>
        </w:rPr>
        <w:t xml:space="preserve">污染天气应急减排清单修订及豁免企业申报、大气污染物与温室气体融合排放</w:t>
      </w:r>
      <w:r>
        <w:rPr>
          <w:rFonts w:hint="eastAsia" w:cs="Times New Roman"/>
          <w:color w:val="auto"/>
          <w:sz w:val="21"/>
          <w:szCs w:val="21"/>
          <w:highlight w:val="none"/>
          <w:lang w:val="en-US" w:eastAsia="zh-CN"/>
        </w:rPr>
        <w:t xml:space="preserve">清单编制</w:t>
      </w:r>
      <w:r>
        <w:rPr>
          <w:rFonts w:hint="eastAsia" w:ascii="宋体" w:hAnsi="宋体" w:eastAsia="宋体" w:cs="宋体"/>
          <w:color w:val="auto"/>
          <w:sz w:val="21"/>
          <w:szCs w:val="21"/>
          <w:highlight w:val="none"/>
        </w:rPr>
        <w:t xml:space="preserve">、消耗臭氧层物质备案及数据报送核查</w:t>
      </w:r>
      <w:r>
        <w:rPr>
          <w:rFonts w:hint="eastAsia" w:ascii="宋体" w:hAnsi="宋体" w:cs="宋体"/>
          <w:color w:val="auto"/>
          <w:sz w:val="21"/>
          <w:szCs w:val="21"/>
          <w:highlight w:val="none"/>
          <w:lang w:val="en-US" w:eastAsia="zh-CN"/>
        </w:rPr>
        <w:t xml:space="preserve">等工作的相关</w:t>
      </w:r>
      <w:r>
        <w:rPr>
          <w:rFonts w:hint="eastAsia" w:ascii="宋体" w:hAnsi="宋体" w:eastAsia="宋体" w:cs="宋体"/>
          <w:color w:val="auto"/>
          <w:sz w:val="21"/>
          <w:szCs w:val="21"/>
          <w:highlight w:val="none"/>
        </w:rPr>
        <w:t xml:space="preserve">环保培训</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涉气企业指导，并</w:t>
      </w:r>
      <w:r>
        <w:rPr>
          <w:rFonts w:hint="eastAsia" w:ascii="宋体" w:hAnsi="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申报材料的评估与表单编制的交叉校核</w:t>
      </w:r>
      <w:r>
        <w:rPr>
          <w:rFonts w:hint="eastAsia" w:ascii="宋体" w:hAnsi="宋体" w:cs="宋体"/>
          <w:color w:val="auto"/>
          <w:sz w:val="21"/>
          <w:szCs w:val="21"/>
          <w:highlight w:val="none"/>
          <w:lang w:val="en-US" w:eastAsia="zh-CN"/>
        </w:rPr>
        <w:t xml:space="preserve">提供技术支持，</w:t>
      </w:r>
      <w:r>
        <w:rPr>
          <w:rFonts w:hint="eastAsia" w:ascii="宋体" w:hAnsi="宋体" w:cs="宋体"/>
          <w:color w:val="auto"/>
          <w:sz w:val="21"/>
          <w:szCs w:val="21"/>
          <w:highlight w:val="none"/>
        </w:rPr>
        <w:t xml:space="preserve">确保完成国家、省下达任务</w:t>
      </w:r>
      <w:r>
        <w:rPr>
          <w:rFonts w:hint="eastAsia" w:ascii="宋体" w:hAnsi="宋体" w:cs="宋体"/>
          <w:color w:val="auto"/>
          <w:sz w:val="21"/>
          <w:szCs w:val="21"/>
          <w:highlight w:val="none"/>
          <w:lang w:eastAsia="zh-CN"/>
        </w:rPr>
        <w:t xml:space="preserve">。</w:t>
      </w:r>
      <w:r/>
    </w:p>
    <w:p>
      <w:pPr>
        <w:numPr>
          <w:ilvl w:val="0"/>
          <w:numId w:val="10"/>
        </w:numPr>
        <w:ind w:firstLine="420"/>
        <w:keepLines w:val="0"/>
        <w:keepNext w:val="0"/>
        <w:pageBreakBefore w:val="0"/>
        <w:spacing w:line="40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协助采购人开展辖区涉ODS企业、涉气企业的摸底排查，完善企业管理底数；</w:t>
      </w:r>
      <w:r/>
    </w:p>
    <w:p>
      <w:pPr>
        <w:numPr>
          <w:ilvl w:val="0"/>
          <w:numId w:val="10"/>
        </w:num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面向相关企业开展专项技术培训或指导，深入解读相关工作政策及数据填报要求；</w:t>
      </w:r>
      <w:r/>
    </w:p>
    <w:p>
      <w:pPr>
        <w:numPr>
          <w:ilvl w:val="0"/>
          <w:numId w:val="10"/>
        </w:num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协助采购人对企业提交的申报数据及支撑材料进行技术审核，并在市级审查阶段提供全程技术响应；</w:t>
      </w:r>
      <w:r/>
    </w:p>
    <w:p>
      <w:pPr>
        <w:numPr>
          <w:ilvl w:val="0"/>
          <w:numId w:val="10"/>
        </w:num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形成符合相关技术要求并通过市级审核的成果材料。</w:t>
      </w:r>
      <w:r/>
    </w:p>
    <w:p>
      <w:pPr>
        <w:pStyle w:val="1122"/>
        <w:numPr>
          <w:ilvl w:val="0"/>
          <w:numId w:val="6"/>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人员配置及其他服务要求</w:t>
      </w:r>
      <w:r/>
    </w:p>
    <w:p>
      <w:pPr>
        <w:numPr>
          <w:ilvl w:val="0"/>
          <w:numId w:val="11"/>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人员配备要求供应商需成立不少于8人的专业工作团队，团队成员需具备扎实的环保专业背景，日常服从采购人管理，不得随意更换，</w:t>
      </w:r>
      <w:r>
        <w:rPr>
          <w:rFonts w:hint="eastAsia" w:ascii="宋体" w:hAnsi="宋体" w:eastAsia="宋体" w:cs="宋体"/>
          <w:color w:val="auto"/>
          <w:sz w:val="21"/>
          <w:szCs w:val="21"/>
          <w:highlight w:val="none"/>
          <w:lang w:val="en-US" w:eastAsia="zh-CN"/>
        </w:rPr>
        <w:t xml:space="preserve">成交后须按要求立即配备到位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下述负责人不得为同一人，</w:t>
      </w:r>
      <w:r>
        <w:rPr>
          <w:rFonts w:hint="eastAsia" w:ascii="宋体" w:hAnsi="宋体" w:eastAsia="宋体" w:cs="宋体"/>
          <w:color w:val="auto"/>
          <w:sz w:val="21"/>
          <w:szCs w:val="21"/>
          <w:highlight w:val="none"/>
          <w:lang w:eastAsia="zh-CN"/>
        </w:rPr>
        <w:t xml:space="preserve">具体分工要求如下：</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）项目负责人（1人）：负责项目总体统筹、进度管理及与采购人的工作对接，</w:t>
      </w:r>
      <w:r>
        <w:rPr>
          <w:rFonts w:hint="eastAsia" w:ascii="宋体" w:hAnsi="宋体" w:eastAsia="宋体" w:cs="宋体"/>
          <w:color w:val="auto"/>
          <w:sz w:val="21"/>
          <w:szCs w:val="21"/>
          <w:highlight w:val="none"/>
          <w:lang w:val="en-US" w:eastAsia="zh-CN"/>
        </w:rPr>
        <w:t xml:space="preserve">具有环保类相关项目技术研究经验</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技术负责人（1名）：</w:t>
      </w:r>
      <w:r>
        <w:rPr>
          <w:rFonts w:hint="eastAsia" w:ascii="宋体" w:hAnsi="宋体" w:eastAsia="宋体" w:cs="宋体"/>
          <w:color w:val="auto"/>
          <w:sz w:val="21"/>
          <w:szCs w:val="21"/>
          <w:highlight w:val="none"/>
          <w:lang w:val="en-US" w:eastAsia="zh-CN"/>
        </w:rPr>
        <w:t xml:space="preserve">具备</w:t>
      </w:r>
      <w:r>
        <w:rPr>
          <w:rFonts w:hint="eastAsia" w:ascii="宋体" w:hAnsi="宋体" w:eastAsia="宋体" w:cs="宋体"/>
          <w:color w:val="auto"/>
          <w:sz w:val="21"/>
          <w:szCs w:val="21"/>
          <w:highlight w:val="none"/>
          <w:lang w:eastAsia="zh-CN"/>
        </w:rPr>
        <w:t xml:space="preserve">环境影响评价、排污核算等领域的</w:t>
      </w:r>
      <w:r>
        <w:rPr>
          <w:rFonts w:hint="eastAsia" w:ascii="宋体" w:hAnsi="宋体" w:eastAsia="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lang w:eastAsia="zh-CN"/>
        </w:rPr>
        <w:t xml:space="preserve">专业经验，负责重污染应急减排清单、温室气体清单编制的技术路线制定与数据核算把关</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质控负责人（1名）：负责建立数据报送与成果审查机制，对巡查报告、清单表单进行严格的质量控制</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固定管控巡查（2人）：负责落实一线巡查任务（其中至少一名要求能熟练驾驶无人机）</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其他成员（</w:t>
      </w:r>
      <w:r>
        <w:rPr>
          <w:rFonts w:hint="eastAsia" w:ascii="宋体" w:hAnsi="宋体" w:eastAsia="宋体" w:cs="宋体"/>
          <w:color w:val="auto"/>
          <w:sz w:val="21"/>
          <w:szCs w:val="21"/>
          <w:highlight w:val="none"/>
          <w:lang w:val="en-US" w:eastAsia="zh-CN"/>
        </w:rPr>
        <w:t xml:space="preserve">3人）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协助</w:t>
      </w:r>
      <w:r>
        <w:rPr>
          <w:rFonts w:hint="eastAsia" w:ascii="宋体" w:hAnsi="宋体" w:eastAsia="宋体" w:cs="宋体"/>
          <w:color w:val="auto"/>
          <w:sz w:val="21"/>
          <w:szCs w:val="21"/>
          <w:highlight w:val="none"/>
          <w:lang w:eastAsia="zh-CN"/>
        </w:rPr>
        <w:t xml:space="preserve">完成培训</w:t>
      </w:r>
      <w:r>
        <w:rPr>
          <w:rFonts w:hint="eastAsia" w:ascii="宋体" w:hAnsi="宋体" w:eastAsia="宋体" w:cs="宋体"/>
          <w:color w:val="auto"/>
          <w:sz w:val="21"/>
          <w:szCs w:val="21"/>
          <w:highlight w:val="none"/>
          <w:lang w:val="en-US" w:eastAsia="zh-CN"/>
        </w:rPr>
        <w:t xml:space="preserve">开展</w:t>
      </w:r>
      <w:r>
        <w:rPr>
          <w:rFonts w:hint="eastAsia" w:ascii="宋体" w:hAnsi="宋体" w:eastAsia="宋体" w:cs="宋体"/>
          <w:color w:val="auto"/>
          <w:sz w:val="21"/>
          <w:szCs w:val="21"/>
          <w:highlight w:val="none"/>
          <w:lang w:eastAsia="zh-CN"/>
        </w:rPr>
        <w:t xml:space="preserve">、企业帮扶及数据整理等工作</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具有参与过相关技术研究项目经验</w:t>
      </w:r>
      <w:r>
        <w:rPr>
          <w:rFonts w:hint="eastAsia" w:ascii="宋体" w:hAnsi="宋体" w:eastAsia="宋体" w:cs="宋体"/>
          <w:color w:val="auto"/>
          <w:sz w:val="21"/>
          <w:szCs w:val="21"/>
          <w:highlight w:val="none"/>
          <w:lang w:eastAsia="zh-CN"/>
        </w:rPr>
        <w:t xml:space="preserve">。</w:t>
      </w:r>
      <w:r/>
    </w:p>
    <w:p>
      <w:pPr>
        <w:numPr>
          <w:ilvl w:val="0"/>
          <w:numId w:val="11"/>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服务响应</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供应商需提供7×24小时响应服务，采购人有常规技术支持需求时，供应商应在1小时内响应。针对重污染天气应急或突发高值等特殊情况，供应商需安排人员24小时待命，接到任务通知后6小时内完成所有排查准备及技术响应工作，并根据采购人指令完成现场巡查与后方数据支持。</w:t>
      </w:r>
      <w:r/>
    </w:p>
    <w:p>
      <w:pPr>
        <w:numPr>
          <w:ilvl w:val="0"/>
          <w:numId w:val="11"/>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数据归属及保密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供应商需承诺本项目所形成的基础数据、排查底稿及成果报告均归采购人所有。供应商应严格遵守采购人关于信息安全和保密的规定。由质控负责人牵头落实严格的数据保密措施，未经采购人授权同意，不得将项目数据和报告发送或透露给任何第三方，确保信息在项目期间及项目后规定时间内的绝对安全。如发生数据泄密，采购人有权要求服务方采取措施消除影响，并赔偿采购人损失，影响严重的将追究法律责任。</w:t>
      </w:r>
      <w:r/>
    </w:p>
    <w:p>
      <w:pPr>
        <w:pStyle w:val="1122"/>
        <w:numPr>
          <w:ilvl w:val="0"/>
          <w:numId w:val="6"/>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项目成果要求</w:t>
      </w:r>
      <w:r/>
    </w:p>
    <w:p>
      <w:pPr>
        <w:numPr>
          <w:ilvl w:val="0"/>
          <w:numId w:val="12"/>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巡查报告，包括检査内容、发现问题、现场照片等内容，巡查结束后当日以微信笔记形式报送给采购人；</w:t>
      </w:r>
      <w:r/>
    </w:p>
    <w:p>
      <w:pPr>
        <w:numPr>
          <w:ilvl w:val="0"/>
          <w:numId w:val="12"/>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异常数据排查情况汇报；</w:t>
      </w:r>
      <w:r/>
    </w:p>
    <w:p>
      <w:pPr>
        <w:numPr>
          <w:ilvl w:val="0"/>
          <w:numId w:val="12"/>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污染源清单及电子地图截图；</w:t>
      </w:r>
      <w:r/>
    </w:p>
    <w:p>
      <w:pPr>
        <w:numPr>
          <w:ilvl w:val="0"/>
          <w:numId w:val="12"/>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空气质量提升对策研究报告两份（每半年一份），根据检查内容分析姑苏区空气质量情况以及影响各项指标的主要污染来源。</w:t>
      </w:r>
      <w:r/>
    </w:p>
    <w:p>
      <w:pPr>
        <w:pStyle w:val="1122"/>
        <w:numPr>
          <w:ilvl w:val="0"/>
          <w:numId w:val="6"/>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合同履约期限</w:t>
      </w:r>
      <w:r/>
    </w:p>
    <w:p>
      <w:pPr>
        <w:pStyle w:val="1122"/>
        <w:ind w:firstLine="567"/>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合同签订后12个月。</w:t>
      </w:r>
      <w:r/>
    </w:p>
    <w:p>
      <w:pPr>
        <w:pStyle w:val="974"/>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r>
      <w:r/>
    </w:p>
    <w:p>
      <w:pPr>
        <w:jc w:val="center"/>
        <w:keepLines w:val="0"/>
        <w:keepNext w:val="0"/>
        <w:pageBreakBefore w:val="0"/>
        <w:spacing w:line="400" w:lineRule="exact"/>
        <w:widowControl w:val="off"/>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lang w:val="en-US" w:eastAsia="zh-CN"/>
        </w:rPr>
        <w:t xml:space="preserve">二</w:t>
      </w:r>
      <w:r>
        <w:rPr>
          <w:rFonts w:hint="eastAsia" w:ascii="宋体" w:hAnsi="宋体" w:eastAsia="宋体" w:cs="宋体"/>
          <w:b/>
          <w:bCs/>
          <w:color w:val="auto"/>
          <w:sz w:val="21"/>
          <w:szCs w:val="24"/>
          <w:highlight w:val="none"/>
        </w:rPr>
        <w:t xml:space="preserve">标段</w:t>
      </w:r>
      <w:r/>
    </w:p>
    <w:p>
      <w:pPr>
        <w:pStyle w:val="1122"/>
        <w:numPr>
          <w:ilvl w:val="0"/>
          <w:numId w:val="13"/>
        </w:numPr>
        <w:ind w:left="567" w:hanging="567"/>
        <w:keepLines w:val="0"/>
        <w:keepNext w:val="0"/>
        <w:pageBreakBefore w:val="0"/>
        <w:spacing w:line="400" w:lineRule="exact"/>
        <w:widowControl/>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项目内容</w:t>
      </w:r>
      <w:r/>
    </w:p>
    <w:p>
      <w:pPr>
        <w:pStyle w:val="1122"/>
        <w:numPr>
          <w:ilvl w:val="0"/>
          <w:numId w:val="0"/>
        </w:numPr>
        <w:ind w:firstLine="567"/>
        <w:keepLines w:val="0"/>
        <w:keepNext w:val="0"/>
        <w:pageBreakBefore w:val="0"/>
        <w:spacing w:line="40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提供空气质量提升环境服务，开展应急走航监测、道路积尘负荷走航监测、空气质量研判分析等服务。</w:t>
      </w:r>
      <w:r/>
    </w:p>
    <w:p>
      <w:pPr>
        <w:numPr>
          <w:ilvl w:val="0"/>
          <w:numId w:val="14"/>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空气质量研判分析服务</w:t>
      </w:r>
      <w:r/>
    </w:p>
    <w:p>
      <w:pPr>
        <w:pStyle w:val="1122"/>
        <w:numPr>
          <w:ilvl w:val="0"/>
          <w:numId w:val="0"/>
        </w:numPr>
        <w:ind w:firstLine="567"/>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outlineLvl w:val="9"/>
      </w:pPr>
      <w:r>
        <w:rPr>
          <w:rFonts w:hint="eastAsia" w:ascii="宋体" w:hAnsi="宋体" w:eastAsia="宋体" w:cs="宋体"/>
          <w:b w:val="0"/>
          <w:bCs w:val="0"/>
          <w:color w:val="auto"/>
          <w:sz w:val="21"/>
          <w:szCs w:val="21"/>
          <w:highlight w:val="none"/>
          <w:lang w:val="en-US" w:eastAsia="zh-CN" w:bidi="ar"/>
        </w:rPr>
        <w:t xml:space="preserve">①定期空气质量研判分析：每月定期形成空气质量研判分析报告，内容应包括当月空气质量变化趋势、主要污染源分析、颗粒物（PM2.5、PM10等）成因分析，并结合分析结果提出下个月具体、可操作的管控策略。</w:t>
      </w:r>
      <w:r/>
    </w:p>
    <w:p>
      <w:pPr>
        <w:pStyle w:val="1122"/>
        <w:numPr>
          <w:ilvl w:val="0"/>
          <w:numId w:val="0"/>
        </w:numPr>
        <w:ind w:firstLine="567"/>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outlineLvl w:val="9"/>
      </w:pPr>
      <w:r>
        <w:rPr>
          <w:rFonts w:hint="eastAsia" w:ascii="宋体" w:hAnsi="宋体" w:eastAsia="宋体" w:cs="宋体"/>
          <w:b w:val="0"/>
          <w:bCs w:val="0"/>
          <w:color w:val="auto"/>
          <w:sz w:val="21"/>
          <w:szCs w:val="21"/>
          <w:highlight w:val="none"/>
          <w:lang w:val="en-US" w:eastAsia="zh-CN" w:bidi="ar"/>
        </w:rPr>
        <w:t xml:space="preserve">②突高高值简要分析：当出现空气质量突高、高值</w:t>
      </w:r>
      <w:r>
        <w:rPr>
          <w:rFonts w:hint="eastAsia" w:cs="宋体"/>
          <w:b w:val="0"/>
          <w:bCs w:val="0"/>
          <w:color w:val="auto"/>
          <w:sz w:val="21"/>
          <w:szCs w:val="21"/>
          <w:highlight w:val="none"/>
          <w:lang w:val="en-US" w:eastAsia="zh-CN" w:bidi="ar"/>
        </w:rPr>
        <w:t xml:space="preserve">或</w:t>
      </w:r>
      <w:r>
        <w:rPr>
          <w:rFonts w:hint="eastAsia" w:ascii="宋体" w:hAnsi="宋体" w:eastAsia="宋体" w:cs="宋体"/>
          <w:b w:val="0"/>
          <w:bCs w:val="0"/>
          <w:color w:val="auto"/>
          <w:sz w:val="21"/>
          <w:szCs w:val="21"/>
          <w:highlight w:val="none"/>
          <w:lang w:val="en-US" w:eastAsia="zh-CN" w:bidi="ar"/>
        </w:rPr>
        <w:t xml:space="preserve">被上级部门点名时，需在接到通知后2小时内，结合气象因素、周边污染源分布等进行简要分析，明确原因，提出针对性建议，并报送至采购人指定工作群。</w:t>
      </w:r>
      <w:r/>
    </w:p>
    <w:p>
      <w:pPr>
        <w:numPr>
          <w:ilvl w:val="0"/>
          <w:numId w:val="14"/>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应急走航监测服务：在数据高值期间及重污染预警期间，根据采购人指令，利用VOCs走航车开展应急走航监测服务。需在接到指令后2小时内抵达现场，对高值区域开展采样分析，精准排查重点污染源，并提交应急走航分析报告。应急走航一年需完成</w:t>
      </w:r>
      <w:r>
        <w:rPr>
          <w:rFonts w:hint="eastAsia" w:ascii="宋体" w:hAnsi="宋体" w:cs="宋体"/>
          <w:b w:val="0"/>
          <w:bCs w:val="0"/>
          <w:color w:val="auto"/>
          <w:sz w:val="21"/>
          <w:szCs w:val="21"/>
          <w:highlight w:val="none"/>
          <w:lang w:val="en-US" w:eastAsia="zh-CN" w:bidi="ar"/>
        </w:rPr>
        <w:t xml:space="preserve">24</w:t>
      </w:r>
      <w:r>
        <w:rPr>
          <w:rFonts w:hint="eastAsia" w:ascii="宋体" w:hAnsi="宋体" w:eastAsia="宋体" w:cs="宋体"/>
          <w:b w:val="0"/>
          <w:bCs w:val="0"/>
          <w:color w:val="auto"/>
          <w:sz w:val="21"/>
          <w:szCs w:val="21"/>
          <w:highlight w:val="none"/>
          <w:lang w:val="en-US" w:eastAsia="zh-CN" w:bidi="ar"/>
        </w:rPr>
        <w:t xml:space="preserve">次。</w:t>
      </w:r>
      <w:r/>
    </w:p>
    <w:p>
      <w:pPr>
        <w:numPr>
          <w:ilvl w:val="0"/>
          <w:numId w:val="14"/>
        </w:numPr>
        <w:ind w:left="567" w:hanging="567"/>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道路积尘负荷走航监测服务：利用道路积尘负荷移动监测设备，对采购人指定的重点区域内道路积尘负荷进行实时评估，形成积尘走航报告，为道路</w:t>
      </w:r>
      <w:r>
        <w:rPr>
          <w:rFonts w:hint="default" w:ascii="宋体" w:hAnsi="宋体" w:eastAsia="宋体" w:cs="宋体"/>
          <w:b w:val="0"/>
          <w:bCs w:val="0"/>
          <w:color w:val="auto"/>
          <w:sz w:val="21"/>
          <w:szCs w:val="21"/>
          <w:highlight w:val="none"/>
          <w:lang w:val="en-US" w:eastAsia="zh-CN" w:bidi="ar"/>
        </w:rPr>
        <w:t xml:space="preserve">清扫保洁和扬尘管控提供数据支撑。</w:t>
      </w:r>
      <w:r>
        <w:rPr>
          <w:rFonts w:hint="eastAsia" w:ascii="宋体" w:hAnsi="宋体" w:eastAsia="宋体" w:cs="宋体"/>
          <w:b w:val="0"/>
          <w:bCs w:val="0"/>
          <w:color w:val="auto"/>
          <w:sz w:val="21"/>
          <w:szCs w:val="21"/>
          <w:highlight w:val="none"/>
          <w:lang w:val="en-US" w:eastAsia="zh-CN" w:bidi="ar"/>
        </w:rPr>
        <w:t xml:space="preserve">道路积尘走航一年需完成12次。</w:t>
      </w:r>
      <w:r/>
    </w:p>
    <w:p>
      <w:pPr>
        <w:pStyle w:val="1122"/>
        <w:numPr>
          <w:ilvl w:val="0"/>
          <w:numId w:val="13"/>
        </w:numPr>
        <w:ind w:left="567" w:hanging="567"/>
        <w:keepLines w:val="0"/>
        <w:keepNext w:val="0"/>
        <w:pageBreakBefore w:val="0"/>
        <w:spacing w:line="400" w:lineRule="exact"/>
        <w:widowControl/>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针对本项目投入的仪器、设备、车辆要求</w:t>
      </w:r>
      <w:r/>
    </w:p>
    <w:tbl>
      <w:tblPr>
        <w:tblStyle w:val="1016"/>
        <w:tblW w:w="98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5550"/>
        <w:gridCol w:w="2686"/>
      </w:tblGrid>
      <w:tr>
        <w:trPr>
          <w:trHeight w:val="510"/>
        </w:trPr>
        <w:tc>
          <w:tcPr>
            <w:tcW w:w="1659" w:type="dxa"/>
            <w:vAlign w:val="center"/>
            <w:textDirection w:val="lrTb"/>
            <w:noWrap w:val="false"/>
          </w:tcPr>
          <w:p>
            <w:pPr>
              <w:ind w:right="-144"/>
              <w:jc w:val="center"/>
              <w:keepLines w:val="0"/>
              <w:keepNext w:val="0"/>
              <w:pageBreakBefore w:val="0"/>
              <w:spacing w:line="375" w:lineRule="atLeast"/>
              <w:widowControl/>
              <w:rPr>
                <w:rFonts w:hint="eastAsia" w:ascii="宋体" w:hAnsi="宋体" w:eastAsia="宋体" w:cs="宋体"/>
                <w:b/>
                <w:bCs/>
                <w:color w:val="auto"/>
                <w:sz w:val="21"/>
                <w:szCs w:val="21"/>
                <w:highlight w:val="none"/>
                <w:vertAlign w:val="baseline"/>
                <w:lang w:val="en-US" w:eastAsia="zh-CN"/>
              </w:rPr>
              <w:outlineLvl w:val="9"/>
              <w:suppressLineNumbers w:val="0"/>
            </w:pPr>
            <w:r>
              <w:rPr>
                <w:rFonts w:hint="eastAsia" w:ascii="宋体" w:hAnsi="宋体" w:eastAsia="宋体" w:cs="宋体"/>
                <w:color w:val="auto"/>
                <w:sz w:val="21"/>
                <w:szCs w:val="21"/>
                <w:highlight w:val="none"/>
                <w:lang w:val="en-US" w:eastAsia="zh-CN" w:bidi="ar"/>
              </w:rPr>
              <w:t xml:space="preserve">序号</w:t>
            </w:r>
            <w:r/>
          </w:p>
        </w:tc>
        <w:tc>
          <w:tcPr>
            <w:tcW w:w="5550" w:type="dxa"/>
            <w:vAlign w:val="center"/>
            <w:textDirection w:val="lrTb"/>
            <w:noWrap w:val="false"/>
          </w:tcPr>
          <w:p>
            <w:pPr>
              <w:ind w:right="0"/>
              <w:jc w:val="center"/>
              <w:keepLines w:val="0"/>
              <w:keepNext w:val="0"/>
              <w:pageBreakBefore w:val="0"/>
              <w:spacing w:line="375" w:lineRule="atLeast"/>
              <w:widowControl/>
              <w:rPr>
                <w:rFonts w:hint="eastAsia" w:ascii="宋体" w:hAnsi="宋体" w:eastAsia="宋体" w:cs="宋体"/>
                <w:b/>
                <w:bCs/>
                <w:color w:val="auto"/>
                <w:sz w:val="21"/>
                <w:szCs w:val="21"/>
                <w:highlight w:val="none"/>
                <w:vertAlign w:val="baseline"/>
                <w:lang w:val="en-US" w:eastAsia="zh-CN"/>
              </w:rPr>
              <w:outlineLvl w:val="9"/>
              <w:suppressLineNumbers w:val="0"/>
            </w:pPr>
            <w:r>
              <w:rPr>
                <w:rFonts w:hint="eastAsia" w:ascii="宋体" w:hAnsi="宋体" w:eastAsia="宋体" w:cs="宋体"/>
                <w:color w:val="auto"/>
                <w:sz w:val="21"/>
                <w:szCs w:val="21"/>
                <w:highlight w:val="none"/>
                <w:lang w:val="en-US" w:eastAsia="zh-CN" w:bidi="ar"/>
              </w:rPr>
              <w:t xml:space="preserve">设备名称</w:t>
            </w:r>
            <w:r/>
          </w:p>
        </w:tc>
        <w:tc>
          <w:tcPr>
            <w:tcW w:w="2686" w:type="dxa"/>
            <w:vAlign w:val="center"/>
            <w:textDirection w:val="lrTb"/>
            <w:noWrap w:val="false"/>
          </w:tcPr>
          <w:p>
            <w:pPr>
              <w:ind w:right="0"/>
              <w:jc w:val="center"/>
              <w:keepLines w:val="0"/>
              <w:keepNext w:val="0"/>
              <w:pageBreakBefore w:val="0"/>
              <w:spacing w:line="375" w:lineRule="atLeast"/>
              <w:widowControl/>
              <w:rPr>
                <w:rFonts w:hint="eastAsia" w:ascii="宋体" w:hAnsi="宋体" w:eastAsia="宋体" w:cs="宋体"/>
                <w:b/>
                <w:bCs/>
                <w:color w:val="auto"/>
                <w:sz w:val="21"/>
                <w:szCs w:val="21"/>
                <w:highlight w:val="none"/>
                <w:vertAlign w:val="baseline"/>
                <w:lang w:val="en-US" w:eastAsia="zh-CN"/>
              </w:rPr>
              <w:outlineLvl w:val="9"/>
              <w:suppressLineNumbers w:val="0"/>
            </w:pPr>
            <w:r>
              <w:rPr>
                <w:rFonts w:hint="eastAsia" w:ascii="宋体" w:hAnsi="宋体" w:eastAsia="宋体" w:cs="宋体"/>
                <w:color w:val="auto"/>
                <w:sz w:val="21"/>
                <w:szCs w:val="21"/>
                <w:highlight w:val="none"/>
                <w:lang w:val="en-US" w:eastAsia="zh-CN" w:bidi="ar"/>
              </w:rPr>
              <w:t xml:space="preserve">最低配置数量</w:t>
            </w:r>
            <w:r/>
          </w:p>
        </w:tc>
      </w:tr>
      <w:tr>
        <w:trPr>
          <w:trHeight w:val="510"/>
        </w:trPr>
        <w:tc>
          <w:tcPr>
            <w:tcW w:w="1659" w:type="dxa"/>
            <w:vAlign w:val="center"/>
            <w:textDirection w:val="lrTb"/>
            <w:noWrap w:val="false"/>
          </w:tcPr>
          <w:p>
            <w:pPr>
              <w:ind w:right="0"/>
              <w:jc w:val="center"/>
              <w:keepLines w:val="0"/>
              <w:keepNext w:val="0"/>
              <w:pageBreakBefore w:val="0"/>
              <w:spacing w:line="375" w:lineRule="atLeast"/>
              <w:widowControl/>
              <w:rPr>
                <w:rFonts w:hint="eastAsia" w:ascii="宋体" w:hAnsi="宋体" w:eastAsia="宋体" w:cs="宋体"/>
                <w:b/>
                <w:bCs/>
                <w:color w:val="auto"/>
                <w:sz w:val="21"/>
                <w:szCs w:val="21"/>
                <w:highlight w:val="none"/>
                <w:vertAlign w:val="baseline"/>
                <w:lang w:val="en-US" w:eastAsia="zh-CN"/>
              </w:rPr>
              <w:outlineLvl w:val="9"/>
              <w:suppressLineNumbers w:val="0"/>
            </w:pPr>
            <w:r>
              <w:rPr>
                <w:rFonts w:hint="eastAsia" w:ascii="宋体" w:hAnsi="宋体" w:eastAsia="宋体" w:cs="宋体"/>
                <w:color w:val="auto"/>
                <w:sz w:val="21"/>
                <w:szCs w:val="21"/>
                <w:highlight w:val="none"/>
                <w:lang w:val="en-US" w:eastAsia="zh-CN" w:bidi="ar"/>
              </w:rPr>
              <w:t xml:space="preserve">1</w:t>
            </w:r>
            <w:r/>
          </w:p>
        </w:tc>
        <w:tc>
          <w:tcPr>
            <w:tcW w:w="5550" w:type="dxa"/>
            <w:vAlign w:val="center"/>
            <w:textDirection w:val="lrTb"/>
            <w:noWrap w:val="false"/>
          </w:tcPr>
          <w:p>
            <w:pPr>
              <w:ind w:right="0"/>
              <w:jc w:val="center"/>
              <w:keepLines w:val="0"/>
              <w:keepNext w:val="0"/>
              <w:pageBreakBefore w:val="0"/>
              <w:spacing w:line="375" w:lineRule="atLeast"/>
              <w:widowControl/>
              <w:rPr>
                <w:rFonts w:hint="eastAsia" w:ascii="宋体" w:hAnsi="宋体" w:eastAsia="宋体" w:cs="宋体"/>
                <w:b/>
                <w:bCs/>
                <w:color w:val="auto"/>
                <w:sz w:val="21"/>
                <w:szCs w:val="21"/>
                <w:highlight w:val="none"/>
                <w:vertAlign w:val="baseline"/>
                <w:lang w:val="en-US" w:eastAsia="zh-CN"/>
              </w:rPr>
              <w:outlineLvl w:val="9"/>
              <w:suppressLineNumbers w:val="0"/>
            </w:pPr>
            <w:r>
              <w:rPr>
                <w:rFonts w:hint="eastAsia" w:ascii="宋体" w:hAnsi="宋体" w:eastAsia="宋体" w:cs="宋体"/>
                <w:color w:val="auto"/>
                <w:sz w:val="21"/>
                <w:szCs w:val="21"/>
                <w:highlight w:val="none"/>
                <w:lang w:val="en-US" w:eastAsia="zh-CN" w:bidi="ar"/>
              </w:rPr>
              <w:t xml:space="preserve">VOC走航车（含单质谱或质谱类分析仪）</w:t>
            </w:r>
            <w:r/>
          </w:p>
        </w:tc>
        <w:tc>
          <w:tcPr>
            <w:tcW w:w="2686" w:type="dxa"/>
            <w:vAlign w:val="center"/>
            <w:textDirection w:val="lrTb"/>
            <w:noWrap w:val="false"/>
          </w:tcPr>
          <w:p>
            <w:pPr>
              <w:ind w:right="0"/>
              <w:jc w:val="center"/>
              <w:keepLines w:val="0"/>
              <w:keepNext w:val="0"/>
              <w:pageBreakBefore w:val="0"/>
              <w:spacing w:line="375" w:lineRule="atLeast"/>
              <w:widowControl/>
              <w:rPr>
                <w:rFonts w:hint="default" w:ascii="宋体" w:hAnsi="宋体" w:eastAsia="宋体" w:cs="宋体"/>
                <w:b/>
                <w:bCs/>
                <w:color w:val="auto"/>
                <w:sz w:val="21"/>
                <w:szCs w:val="21"/>
                <w:highlight w:val="none"/>
                <w:vertAlign w:val="baseline"/>
                <w:lang w:val="en-US" w:eastAsia="zh-CN"/>
              </w:rPr>
              <w:outlineLvl w:val="9"/>
              <w:suppressLineNumbers w:val="0"/>
            </w:pPr>
            <w:r>
              <w:rPr>
                <w:rFonts w:hint="eastAsia" w:ascii="宋体" w:hAnsi="宋体" w:eastAsia="宋体" w:cs="宋体"/>
                <w:color w:val="auto"/>
                <w:sz w:val="21"/>
                <w:szCs w:val="21"/>
                <w:highlight w:val="none"/>
                <w:lang w:val="en-US" w:eastAsia="zh-CN" w:bidi="ar"/>
              </w:rPr>
              <w:t xml:space="preserve">1辆</w:t>
            </w:r>
            <w:r/>
          </w:p>
        </w:tc>
      </w:tr>
      <w:tr>
        <w:trPr>
          <w:trHeight w:val="510"/>
        </w:trPr>
        <w:tc>
          <w:tcPr>
            <w:tcW w:w="1659" w:type="dxa"/>
            <w:vAlign w:val="center"/>
            <w:textDirection w:val="lrTb"/>
            <w:noWrap w:val="false"/>
          </w:tcPr>
          <w:p>
            <w:pPr>
              <w:ind w:right="0"/>
              <w:jc w:val="center"/>
              <w:keepLines w:val="0"/>
              <w:keepNext w:val="0"/>
              <w:pageBreakBefore w:val="0"/>
              <w:spacing w:line="375" w:lineRule="atLeast"/>
              <w:widowControl/>
              <w:rPr>
                <w:rFonts w:hint="eastAsia" w:ascii="宋体" w:hAnsi="宋体" w:eastAsia="宋体" w:cs="宋体"/>
                <w:b/>
                <w:bCs/>
                <w:color w:val="auto"/>
                <w:sz w:val="21"/>
                <w:szCs w:val="21"/>
                <w:highlight w:val="none"/>
                <w:vertAlign w:val="baseline"/>
                <w:lang w:val="en-US" w:eastAsia="zh-CN"/>
              </w:rPr>
              <w:outlineLvl w:val="9"/>
              <w:suppressLineNumbers w:val="0"/>
            </w:pPr>
            <w:r>
              <w:rPr>
                <w:rFonts w:hint="eastAsia" w:ascii="宋体" w:hAnsi="宋体" w:eastAsia="宋体" w:cs="宋体"/>
                <w:color w:val="auto"/>
                <w:sz w:val="21"/>
                <w:szCs w:val="21"/>
                <w:highlight w:val="none"/>
                <w:lang w:val="en-US" w:eastAsia="zh-CN" w:bidi="ar"/>
              </w:rPr>
              <w:t xml:space="preserve">2</w:t>
            </w:r>
            <w:r/>
          </w:p>
        </w:tc>
        <w:tc>
          <w:tcPr>
            <w:tcW w:w="5550" w:type="dxa"/>
            <w:vAlign w:val="center"/>
            <w:textDirection w:val="lrTb"/>
            <w:noWrap w:val="false"/>
          </w:tcPr>
          <w:p>
            <w:pPr>
              <w:ind w:right="0"/>
              <w:jc w:val="center"/>
              <w:keepLines w:val="0"/>
              <w:keepNext w:val="0"/>
              <w:pageBreakBefore w:val="0"/>
              <w:spacing w:line="375" w:lineRule="atLeast"/>
              <w:widowControl/>
              <w:rPr>
                <w:rFonts w:hint="eastAsia" w:ascii="宋体" w:hAnsi="宋体" w:eastAsia="宋体" w:cs="宋体"/>
                <w:b/>
                <w:bCs/>
                <w:color w:val="auto"/>
                <w:sz w:val="21"/>
                <w:szCs w:val="21"/>
                <w:highlight w:val="none"/>
                <w:vertAlign w:val="baseline"/>
                <w:lang w:val="en-US" w:eastAsia="zh-CN"/>
              </w:rPr>
              <w:outlineLvl w:val="9"/>
              <w:suppressLineNumbers w:val="0"/>
            </w:pPr>
            <w:r>
              <w:rPr>
                <w:rFonts w:hint="eastAsia" w:ascii="宋体" w:hAnsi="宋体" w:eastAsia="宋体" w:cs="宋体"/>
                <w:color w:val="auto"/>
                <w:sz w:val="21"/>
                <w:szCs w:val="21"/>
                <w:highlight w:val="none"/>
                <w:lang w:val="en-US" w:eastAsia="zh-CN" w:bidi="ar"/>
              </w:rPr>
              <w:t xml:space="preserve">道路积尘负荷走航车</w:t>
            </w:r>
            <w:r/>
          </w:p>
        </w:tc>
        <w:tc>
          <w:tcPr>
            <w:tcW w:w="2686" w:type="dxa"/>
            <w:vAlign w:val="center"/>
            <w:textDirection w:val="lrTb"/>
            <w:noWrap w:val="false"/>
          </w:tcPr>
          <w:p>
            <w:pPr>
              <w:ind w:right="0"/>
              <w:jc w:val="center"/>
              <w:keepLines w:val="0"/>
              <w:keepNext w:val="0"/>
              <w:pageBreakBefore w:val="0"/>
              <w:spacing w:line="375" w:lineRule="atLeast"/>
              <w:widowControl/>
              <w:rPr>
                <w:rFonts w:hint="eastAsia" w:ascii="宋体" w:hAnsi="宋体" w:eastAsia="宋体" w:cs="宋体"/>
                <w:b/>
                <w:bCs/>
                <w:color w:val="auto"/>
                <w:sz w:val="21"/>
                <w:szCs w:val="21"/>
                <w:highlight w:val="none"/>
                <w:vertAlign w:val="baseline"/>
                <w:lang w:val="en-US" w:eastAsia="zh-CN"/>
              </w:rPr>
              <w:outlineLvl w:val="9"/>
              <w:suppressLineNumbers w:val="0"/>
            </w:pPr>
            <w:r>
              <w:rPr>
                <w:rFonts w:hint="eastAsia" w:ascii="宋体" w:hAnsi="宋体" w:eastAsia="宋体" w:cs="宋体"/>
                <w:color w:val="auto"/>
                <w:sz w:val="21"/>
                <w:szCs w:val="21"/>
                <w:highlight w:val="none"/>
                <w:lang w:val="en-US" w:eastAsia="zh-CN" w:bidi="ar"/>
              </w:rPr>
              <w:t xml:space="preserve">1辆</w:t>
            </w:r>
            <w:r/>
          </w:p>
        </w:tc>
      </w:tr>
      <w:tr>
        <w:trPr>
          <w:trHeight w:val="510"/>
        </w:trPr>
        <w:tc>
          <w:tcPr>
            <w:tcW w:w="1659" w:type="dxa"/>
            <w:vAlign w:val="center"/>
            <w:textDirection w:val="lrTb"/>
            <w:noWrap w:val="false"/>
          </w:tcPr>
          <w:p>
            <w:pPr>
              <w:ind w:right="0"/>
              <w:jc w:val="center"/>
              <w:keepLines w:val="0"/>
              <w:keepNext w:val="0"/>
              <w:pageBreakBefore w:val="0"/>
              <w:spacing w:line="375" w:lineRule="atLeast"/>
              <w:widowControl/>
              <w:rPr>
                <w:rFonts w:hint="eastAsia" w:ascii="宋体" w:hAnsi="宋体" w:eastAsia="宋体" w:cs="宋体"/>
                <w:b/>
                <w:bCs/>
                <w:color w:val="auto"/>
                <w:sz w:val="21"/>
                <w:szCs w:val="21"/>
                <w:highlight w:val="none"/>
                <w:vertAlign w:val="baseline"/>
                <w:lang w:val="en-US" w:eastAsia="zh-CN"/>
              </w:rPr>
              <w:outlineLvl w:val="9"/>
              <w:suppressLineNumbers w:val="0"/>
            </w:pPr>
            <w:r>
              <w:rPr>
                <w:rFonts w:hint="eastAsia" w:ascii="宋体" w:hAnsi="宋体" w:eastAsia="宋体" w:cs="宋体"/>
                <w:color w:val="auto"/>
                <w:sz w:val="21"/>
                <w:szCs w:val="21"/>
                <w:highlight w:val="none"/>
                <w:lang w:val="en-US" w:eastAsia="zh-CN" w:bidi="ar"/>
              </w:rPr>
              <w:t xml:space="preserve">3</w:t>
            </w:r>
            <w:r/>
          </w:p>
        </w:tc>
        <w:tc>
          <w:tcPr>
            <w:tcW w:w="5550" w:type="dxa"/>
            <w:vAlign w:val="center"/>
            <w:textDirection w:val="lrTb"/>
            <w:noWrap w:val="false"/>
          </w:tcPr>
          <w:p>
            <w:pPr>
              <w:ind w:right="0"/>
              <w:jc w:val="center"/>
              <w:keepLines w:val="0"/>
              <w:keepNext w:val="0"/>
              <w:pageBreakBefore w:val="0"/>
              <w:spacing w:line="375" w:lineRule="atLeast"/>
              <w:widowControl/>
              <w:rPr>
                <w:rFonts w:hint="eastAsia" w:ascii="宋体" w:hAnsi="宋体" w:eastAsia="宋体" w:cs="宋体"/>
                <w:b/>
                <w:bCs/>
                <w:color w:val="auto"/>
                <w:sz w:val="21"/>
                <w:szCs w:val="21"/>
                <w:highlight w:val="none"/>
                <w:vertAlign w:val="baseline"/>
                <w:lang w:val="en-US" w:eastAsia="zh-CN"/>
              </w:rPr>
              <w:outlineLvl w:val="9"/>
              <w:suppressLineNumbers w:val="0"/>
            </w:pPr>
            <w:r>
              <w:rPr>
                <w:rFonts w:hint="eastAsia" w:ascii="宋体" w:hAnsi="宋体" w:eastAsia="宋体" w:cs="宋体"/>
                <w:color w:val="auto"/>
                <w:sz w:val="21"/>
                <w:szCs w:val="21"/>
                <w:highlight w:val="none"/>
                <w:lang w:val="en-US" w:eastAsia="zh-CN" w:bidi="ar"/>
              </w:rPr>
              <w:t xml:space="preserve">便携式VOC溯源仪器（如FID、PID等）</w:t>
            </w:r>
            <w:r/>
          </w:p>
        </w:tc>
        <w:tc>
          <w:tcPr>
            <w:tcW w:w="2686" w:type="dxa"/>
            <w:vAlign w:val="center"/>
            <w:textDirection w:val="lrTb"/>
            <w:noWrap w:val="false"/>
          </w:tcPr>
          <w:p>
            <w:pPr>
              <w:ind w:right="0"/>
              <w:jc w:val="center"/>
              <w:keepLines w:val="0"/>
              <w:keepNext w:val="0"/>
              <w:pageBreakBefore w:val="0"/>
              <w:spacing w:line="375" w:lineRule="atLeast"/>
              <w:widowControl/>
              <w:rPr>
                <w:rFonts w:hint="default" w:ascii="宋体" w:hAnsi="宋体" w:eastAsia="宋体" w:cs="宋体"/>
                <w:b/>
                <w:bCs/>
                <w:color w:val="auto"/>
                <w:sz w:val="21"/>
                <w:szCs w:val="21"/>
                <w:highlight w:val="none"/>
                <w:vertAlign w:val="baseline"/>
                <w:lang w:val="en-US" w:eastAsia="zh-CN"/>
              </w:rPr>
              <w:outlineLvl w:val="9"/>
              <w:suppressLineNumbers w:val="0"/>
            </w:pPr>
            <w:r>
              <w:rPr>
                <w:rFonts w:hint="eastAsia" w:ascii="宋体" w:hAnsi="宋体" w:eastAsia="宋体" w:cs="宋体"/>
                <w:color w:val="auto"/>
                <w:sz w:val="21"/>
                <w:szCs w:val="21"/>
                <w:highlight w:val="none"/>
                <w:lang w:val="en-US" w:eastAsia="zh-CN" w:bidi="ar"/>
              </w:rPr>
              <w:t xml:space="preserve">1套</w:t>
            </w:r>
            <w:r/>
          </w:p>
        </w:tc>
      </w:tr>
    </w:tbl>
    <w:p>
      <w:pPr>
        <w:numPr>
          <w:ilvl w:val="0"/>
          <w:numId w:val="15"/>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VOCs 走航车</w:t>
      </w:r>
      <w:r/>
    </w:p>
    <w:p>
      <w:pPr>
        <w:pStyle w:val="1019"/>
        <w:numPr>
          <w:ilvl w:val="0"/>
          <w:numId w:val="0"/>
        </w:numPr>
        <w:ind w:firstLine="567"/>
        <w:keepLines w:val="0"/>
        <w:keepNext w:val="0"/>
        <w:pageBreakBefore w:val="0"/>
        <w:spacing w:line="400" w:lineRule="exact"/>
        <w:widowControl w:val="off"/>
        <w:rPr>
          <w:rFonts w:hint="eastAsia" w:cs="宋体"/>
          <w:color w:val="auto"/>
          <w:sz w:val="21"/>
          <w:szCs w:val="21"/>
          <w:highlight w:val="none"/>
        </w:rPr>
        <w:outlineLvl w:val="9"/>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1</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全部车载设备正常运行的情况下，续航时间＞6小时。</w:t>
      </w:r>
      <w:r/>
    </w:p>
    <w:p>
      <w:pPr>
        <w:pStyle w:val="1019"/>
        <w:numPr>
          <w:ilvl w:val="0"/>
          <w:numId w:val="0"/>
        </w:numPr>
        <w:ind w:firstLine="567"/>
        <w:keepLines w:val="0"/>
        <w:keepNext w:val="0"/>
        <w:pageBreakBefore w:val="0"/>
        <w:spacing w:line="400" w:lineRule="exact"/>
        <w:widowControl w:val="off"/>
        <w:rPr>
          <w:rFonts w:hint="eastAsia" w:cs="宋体"/>
          <w:color w:val="auto"/>
          <w:sz w:val="21"/>
          <w:szCs w:val="21"/>
          <w:highlight w:val="none"/>
        </w:rPr>
        <w:outlineLvl w:val="9"/>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VOC监测设备：至少包括VOC快速响应仪（秒级数据，设备原理可为PTR-TOF或者能到达相同监测效果的设备）、VOCs组分分析仪（定点采样分析设备，设备原理为GC-MS或者能到达相同监测效果的设备）。</w:t>
      </w:r>
      <w:r/>
    </w:p>
    <w:p>
      <w:pPr>
        <w:pStyle w:val="1019"/>
        <w:numPr>
          <w:ilvl w:val="0"/>
          <w:numId w:val="0"/>
        </w:numPr>
        <w:ind w:firstLine="567"/>
        <w:keepLines w:val="0"/>
        <w:keepNext w:val="0"/>
        <w:pageBreakBefore w:val="0"/>
        <w:spacing w:line="400" w:lineRule="exact"/>
        <w:widowControl w:val="off"/>
        <w:rPr>
          <w:rFonts w:hint="eastAsia" w:cs="宋体"/>
          <w:color w:val="auto"/>
          <w:sz w:val="21"/>
          <w:szCs w:val="21"/>
          <w:highlight w:val="none"/>
        </w:rPr>
        <w:outlineLvl w:val="9"/>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3</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气象设备：至少包括气象五参数分析仪。</w:t>
      </w:r>
      <w:r/>
    </w:p>
    <w:p>
      <w:pPr>
        <w:numPr>
          <w:ilvl w:val="0"/>
          <w:numId w:val="15"/>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道路积尘走航监测服务</w:t>
      </w:r>
      <w:r/>
    </w:p>
    <w:p>
      <w:pPr>
        <w:pStyle w:val="1019"/>
        <w:numPr>
          <w:ilvl w:val="0"/>
          <w:numId w:val="0"/>
        </w:numPr>
        <w:ind w:firstLine="567"/>
        <w:keepLines w:val="0"/>
        <w:keepNext w:val="0"/>
        <w:pageBreakBefore w:val="0"/>
        <w:spacing w:line="400" w:lineRule="exact"/>
        <w:widowControl w:val="off"/>
        <w:rPr>
          <w:rFonts w:hint="default" w:eastAsia="宋体" w:cs="宋体"/>
          <w:color w:val="auto"/>
          <w:sz w:val="21"/>
          <w:szCs w:val="21"/>
          <w:highlight w:val="none"/>
          <w:lang w:val="en-US" w:eastAsia="zh-CN"/>
        </w:rPr>
        <w:outlineLvl w:val="9"/>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1</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包括</w:t>
      </w:r>
      <w:r>
        <w:rPr>
          <w:rFonts w:hint="eastAsia" w:ascii="宋体" w:hAnsi="宋体" w:eastAsia="宋体" w:cs="宋体"/>
          <w:color w:val="auto"/>
          <w:sz w:val="21"/>
          <w:szCs w:val="21"/>
          <w:highlight w:val="none"/>
        </w:rPr>
        <w:t xml:space="preserve">路面扬尘采样单元</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道路积尘监测仪、数据采集模块、</w:t>
      </w:r>
      <w:r>
        <w:rPr>
          <w:rFonts w:hint="eastAsia" w:cs="宋体"/>
          <w:color w:val="auto"/>
          <w:sz w:val="21"/>
          <w:szCs w:val="21"/>
          <w:highlight w:val="none"/>
        </w:rPr>
        <w:t xml:space="preserve">道路积尘监测系统软件</w:t>
      </w:r>
      <w:r>
        <w:rPr>
          <w:rFonts w:hint="eastAsia" w:cs="宋体"/>
          <w:color w:val="auto"/>
          <w:sz w:val="21"/>
          <w:szCs w:val="21"/>
          <w:highlight w:val="none"/>
          <w:lang w:val="en-US" w:eastAsia="zh-CN"/>
        </w:rPr>
        <w:t xml:space="preserve">等软硬件设备。</w:t>
      </w:r>
      <w:r/>
    </w:p>
    <w:p>
      <w:pPr>
        <w:pStyle w:val="1019"/>
        <w:numPr>
          <w:ilvl w:val="0"/>
          <w:numId w:val="0"/>
        </w:numPr>
        <w:ind w:firstLine="567"/>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系统具备GPS定位功能并配套数据监控中心，测试过程中实时计算道路积尘浓度，并自动上传走航车的GPS信息和测试的数据，保证数据的时效性。</w:t>
      </w:r>
      <w:r/>
    </w:p>
    <w:p>
      <w:pPr>
        <w:pStyle w:val="1019"/>
        <w:numPr>
          <w:ilvl w:val="0"/>
          <w:numId w:val="0"/>
        </w:numPr>
        <w:ind w:firstLine="567"/>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监测数据可实时通过监测路径与地图进行匹配，软件系统可统计任意路段积尘负荷数值，软件系统可导出积尘负荷空间分布图形和积尘负荷报表</w:t>
      </w:r>
      <w:r>
        <w:rPr>
          <w:rFonts w:hint="eastAsia" w:cs="宋体"/>
          <w:color w:val="auto"/>
          <w:sz w:val="21"/>
          <w:szCs w:val="21"/>
          <w:highlight w:val="none"/>
          <w:lang w:eastAsia="zh-CN"/>
        </w:rPr>
        <w:t xml:space="preserve">。</w:t>
      </w:r>
      <w:r/>
    </w:p>
    <w:p>
      <w:pPr>
        <w:pStyle w:val="1019"/>
        <w:numPr>
          <w:ilvl w:val="0"/>
          <w:numId w:val="0"/>
        </w:numPr>
        <w:ind w:firstLine="567"/>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可自行设定的积尘负荷等级范围，在线地图自动对积尘负荷数据分级，等级划分不少于4级。</w:t>
      </w:r>
      <w:r/>
    </w:p>
    <w:p>
      <w:pPr>
        <w:pStyle w:val="1019"/>
        <w:numPr>
          <w:ilvl w:val="0"/>
          <w:numId w:val="0"/>
        </w:numPr>
        <w:ind w:firstLine="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5</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走航过程中发现数据高值时，对点位或路段周边环境进行拍照，为污染溯源提供支撑。</w:t>
      </w:r>
      <w:r/>
    </w:p>
    <w:p>
      <w:pPr>
        <w:numPr>
          <w:ilvl w:val="0"/>
          <w:numId w:val="15"/>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便携式VOCs溯源仪器</w:t>
      </w:r>
      <w:r/>
    </w:p>
    <w:p>
      <w:pPr>
        <w:pStyle w:val="1019"/>
        <w:numPr>
          <w:ilvl w:val="0"/>
          <w:numId w:val="0"/>
        </w:numPr>
        <w:ind w:firstLine="567"/>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cs="宋体"/>
          <w:color w:val="auto"/>
          <w:sz w:val="21"/>
          <w:szCs w:val="21"/>
          <w:highlight w:val="none"/>
          <w:lang w:val="en-US" w:eastAsia="zh-CN"/>
        </w:rPr>
        <w:t xml:space="preserve">配置</w:t>
      </w:r>
      <w:r>
        <w:rPr>
          <w:rFonts w:hint="eastAsia" w:eastAsia="宋体" w:cs="宋体"/>
          <w:bCs w:val="0"/>
          <w:color w:val="auto"/>
          <w:sz w:val="21"/>
          <w:szCs w:val="21"/>
          <w:highlight w:val="none"/>
        </w:rPr>
        <w:t xml:space="preserve">便携式FID</w:t>
      </w:r>
      <w:r>
        <w:rPr>
          <w:rFonts w:hint="eastAsia" w:eastAsia="宋体" w:cs="宋体"/>
          <w:bCs w:val="0"/>
          <w:color w:val="auto"/>
          <w:sz w:val="21"/>
          <w:szCs w:val="21"/>
          <w:highlight w:val="none"/>
          <w:lang w:val="en-US" w:eastAsia="zh-CN"/>
        </w:rPr>
        <w:t xml:space="preserve">或</w:t>
      </w:r>
      <w:r>
        <w:rPr>
          <w:rFonts w:hint="eastAsia" w:eastAsia="宋体" w:cs="宋体"/>
          <w:bCs w:val="0"/>
          <w:color w:val="auto"/>
          <w:sz w:val="21"/>
          <w:szCs w:val="21"/>
          <w:highlight w:val="none"/>
        </w:rPr>
        <w:t xml:space="preserve">便携式傅里叶红外、便携式质谱仪等VOC应急溯源仪器</w:t>
      </w:r>
      <w:r>
        <w:rPr>
          <w:rFonts w:hint="eastAsia" w:eastAsia="宋体" w:cs="宋体"/>
          <w:b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用于应急情况下现场快速排查和溯源。</w:t>
      </w:r>
      <w:r/>
    </w:p>
    <w:p>
      <w:pPr>
        <w:pStyle w:val="1122"/>
        <w:numPr>
          <w:ilvl w:val="0"/>
          <w:numId w:val="13"/>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人员配置及其他服务要求</w:t>
      </w:r>
      <w:r/>
    </w:p>
    <w:p>
      <w:pPr>
        <w:numPr>
          <w:ilvl w:val="0"/>
          <w:numId w:val="16"/>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人员配备要求</w:t>
      </w:r>
      <w:r/>
    </w:p>
    <w:p>
      <w:pPr>
        <w:pStyle w:val="1019"/>
        <w:numPr>
          <w:ilvl w:val="0"/>
          <w:numId w:val="0"/>
        </w:numPr>
        <w:ind w:firstLine="567"/>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需成立不少于</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人的工作团队，其中</w:t>
      </w:r>
      <w:r>
        <w:rPr>
          <w:rFonts w:hint="eastAsia" w:cs="宋体"/>
          <w:color w:val="auto"/>
          <w:sz w:val="21"/>
          <w:szCs w:val="21"/>
          <w:highlight w:val="none"/>
          <w:lang w:val="en-US" w:eastAsia="zh-CN"/>
        </w:rPr>
        <w:t xml:space="preserve">至少</w:t>
      </w:r>
      <w:r>
        <w:rPr>
          <w:rFonts w:hint="eastAsia" w:ascii="宋体" w:hAnsi="宋体" w:eastAsia="宋体" w:cs="宋体"/>
          <w:color w:val="auto"/>
          <w:sz w:val="21"/>
          <w:szCs w:val="21"/>
          <w:highlight w:val="none"/>
        </w:rPr>
        <w:t xml:space="preserve">包括项目负责人1人、</w:t>
      </w:r>
      <w:r>
        <w:rPr>
          <w:rFonts w:hint="eastAsia" w:ascii="宋体" w:hAnsi="宋体" w:eastAsia="宋体" w:cs="宋体"/>
          <w:color w:val="auto"/>
          <w:sz w:val="21"/>
          <w:szCs w:val="21"/>
          <w:highlight w:val="none"/>
          <w:lang w:val="en-US" w:eastAsia="zh-CN"/>
        </w:rPr>
        <w:t xml:space="preserve">数据分析人员</w:t>
      </w:r>
      <w:r>
        <w:rPr>
          <w:rFonts w:hint="eastAsia" w:ascii="宋体" w:hAnsi="宋体" w:eastAsia="宋体" w:cs="宋体"/>
          <w:color w:val="auto"/>
          <w:sz w:val="21"/>
          <w:szCs w:val="21"/>
          <w:highlight w:val="none"/>
        </w:rPr>
        <w:t xml:space="preserve">1人、</w:t>
      </w:r>
      <w:r>
        <w:rPr>
          <w:rFonts w:hint="eastAsia" w:ascii="宋体" w:hAnsi="宋体" w:eastAsia="宋体" w:cs="宋体"/>
          <w:color w:val="auto"/>
          <w:sz w:val="21"/>
          <w:szCs w:val="21"/>
          <w:highlight w:val="none"/>
          <w:lang w:val="en-US" w:eastAsia="zh-CN"/>
        </w:rPr>
        <w:t xml:space="preserve">质控人员1名、走航监测及现场人员2</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val="en-US" w:eastAsia="zh-CN"/>
        </w:rPr>
        <w:t xml:space="preserve">成交后须按要求立即配备到位</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项目负责人负责统筹项目管理、协调内外部资源、审核所有分析报告及走航报告，确保服务质量。数据分析人员负责空气质量数据日常监控、研判分析、报告编制。需熟练运用相关软件平台，具备大气环境分析能力。</w:t>
      </w:r>
      <w:r>
        <w:rPr>
          <w:rFonts w:hint="eastAsia" w:ascii="宋体" w:hAnsi="宋体" w:eastAsia="宋体" w:cs="宋体"/>
          <w:color w:val="auto"/>
          <w:sz w:val="21"/>
          <w:szCs w:val="21"/>
          <w:highlight w:val="none"/>
          <w:lang w:val="en-US" w:eastAsia="zh-CN"/>
        </w:rPr>
        <w:t xml:space="preserve">质控人员负责仪器设备、监测数据的相关质控核查，把控最终监测成果有效性。</w:t>
      </w:r>
      <w:r>
        <w:rPr>
          <w:rFonts w:hint="default" w:ascii="宋体" w:hAnsi="宋体" w:eastAsia="宋体" w:cs="宋体"/>
          <w:color w:val="auto"/>
          <w:sz w:val="21"/>
          <w:szCs w:val="21"/>
          <w:highlight w:val="none"/>
        </w:rPr>
        <w:t xml:space="preserve">走航监测及现场人员负责执行应急走航和积尘走航任务，需持有驾照，能熟练操作走航监测设备及便携式溯源仪器。</w:t>
      </w:r>
      <w:r/>
    </w:p>
    <w:p>
      <w:pPr>
        <w:pStyle w:val="1019"/>
        <w:numPr>
          <w:ilvl w:val="0"/>
          <w:numId w:val="0"/>
        </w:numPr>
        <w:ind w:firstLine="567"/>
        <w:keepLines w:val="0"/>
        <w:keepNext w:val="0"/>
        <w:pageBreakBefore w:val="0"/>
        <w:spacing w:line="400" w:lineRule="exact"/>
        <w:widowControl w:val="off"/>
        <w:rPr>
          <w:rFonts w:ascii="宋体" w:hAnsi="宋体"/>
          <w:b/>
          <w:color w:val="auto"/>
          <w:sz w:val="21"/>
          <w:szCs w:val="21"/>
          <w:highlight w:val="none"/>
        </w:rPr>
        <w:outlineLvl w:val="9"/>
      </w:pPr>
      <w:r>
        <w:rPr>
          <w:rFonts w:hint="eastAsia" w:ascii="宋体" w:hAnsi="宋体"/>
          <w:color w:val="auto"/>
          <w:sz w:val="21"/>
          <w:szCs w:val="21"/>
          <w:highlight w:val="none"/>
        </w:rPr>
        <w:t xml:space="preserve">成交单位在项目实施期间应无条件的接受采购人的监督管理，提出的质量问题要及时整改，整改完毕后通知采购人检查验收，合格</w:t>
      </w:r>
      <w:r>
        <w:rPr>
          <w:rFonts w:hint="eastAsia" w:ascii="宋体" w:hAnsi="宋体"/>
          <w:b w:val="0"/>
          <w:bCs w:val="0"/>
          <w:color w:val="auto"/>
          <w:sz w:val="21"/>
          <w:szCs w:val="21"/>
          <w:highlight w:val="none"/>
        </w:rPr>
        <w:t xml:space="preserve">后书面报送采购人备案。其中项</w:t>
      </w:r>
      <w:r>
        <w:rPr>
          <w:rFonts w:hint="eastAsia" w:ascii="宋体" w:hAnsi="宋体" w:eastAsia="宋体" w:cs="Times New Roman"/>
          <w:b w:val="0"/>
          <w:bCs w:val="0"/>
          <w:color w:val="auto"/>
          <w:sz w:val="21"/>
          <w:szCs w:val="21"/>
          <w:highlight w:val="none"/>
        </w:rPr>
        <w:t xml:space="preserve">目负责人、</w:t>
      </w:r>
      <w:r>
        <w:rPr>
          <w:rFonts w:hint="eastAsia" w:ascii="宋体" w:hAnsi="宋体" w:eastAsia="宋体" w:cs="Times New Roman"/>
          <w:b w:val="0"/>
          <w:bCs w:val="0"/>
          <w:color w:val="auto"/>
          <w:sz w:val="21"/>
          <w:szCs w:val="21"/>
          <w:highlight w:val="none"/>
          <w:lang w:val="en-US" w:eastAsia="zh-CN"/>
        </w:rPr>
        <w:t xml:space="preserve">数据分析人员</w:t>
      </w:r>
      <w:r>
        <w:rPr>
          <w:rFonts w:hint="eastAsia" w:ascii="宋体" w:hAnsi="宋体" w:eastAsia="宋体" w:cs="Times New Roman"/>
          <w:b w:val="0"/>
          <w:bCs w:val="0"/>
          <w:color w:val="auto"/>
          <w:sz w:val="21"/>
          <w:szCs w:val="21"/>
          <w:highlight w:val="none"/>
        </w:rPr>
        <w:t xml:space="preserve">、</w:t>
      </w:r>
      <w:r>
        <w:rPr>
          <w:rFonts w:hint="eastAsia" w:ascii="宋体" w:hAnsi="宋体" w:eastAsia="宋体" w:cs="Times New Roman"/>
          <w:b w:val="0"/>
          <w:bCs w:val="0"/>
          <w:color w:val="auto"/>
          <w:sz w:val="21"/>
          <w:szCs w:val="21"/>
          <w:highlight w:val="none"/>
          <w:lang w:val="en-US" w:eastAsia="zh-CN"/>
        </w:rPr>
        <w:t xml:space="preserve">走航监测及现场人员</w:t>
      </w:r>
      <w:r>
        <w:rPr>
          <w:rFonts w:hint="eastAsia" w:ascii="宋体" w:hAnsi="宋体"/>
          <w:b w:val="0"/>
          <w:bCs w:val="0"/>
          <w:color w:val="auto"/>
          <w:sz w:val="21"/>
          <w:szCs w:val="21"/>
          <w:highlight w:val="none"/>
        </w:rPr>
        <w:t xml:space="preserve">未经</w:t>
      </w:r>
      <w:r>
        <w:rPr>
          <w:rFonts w:hint="eastAsia" w:ascii="宋体" w:hAnsi="宋体"/>
          <w:b w:val="0"/>
          <w:bCs w:val="0"/>
          <w:color w:val="auto"/>
          <w:sz w:val="21"/>
          <w:szCs w:val="21"/>
          <w:highlight w:val="none"/>
          <w:lang w:val="en-US" w:eastAsia="zh-CN"/>
        </w:rPr>
        <w:t xml:space="preserve">采购人</w:t>
      </w:r>
      <w:r>
        <w:rPr>
          <w:rFonts w:hint="eastAsia" w:ascii="宋体" w:hAnsi="宋体"/>
          <w:b w:val="0"/>
          <w:bCs w:val="0"/>
          <w:color w:val="auto"/>
          <w:sz w:val="21"/>
          <w:szCs w:val="21"/>
          <w:highlight w:val="none"/>
        </w:rPr>
        <w:t xml:space="preserve">允许不得更换。 </w:t>
      </w:r>
      <w:r/>
    </w:p>
    <w:p>
      <w:pPr>
        <w:numPr>
          <w:ilvl w:val="0"/>
          <w:numId w:val="16"/>
        </w:numPr>
        <w:ind w:left="567" w:hanging="567"/>
        <w:keepLines w:val="0"/>
        <w:keepNext w:val="0"/>
        <w:pageBreakBefore w:val="0"/>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数据归属及保密</w:t>
      </w:r>
      <w:r/>
    </w:p>
    <w:p>
      <w:pPr>
        <w:pStyle w:val="1019"/>
        <w:numPr>
          <w:ilvl w:val="0"/>
          <w:numId w:val="0"/>
        </w:numPr>
        <w:ind w:firstLine="567"/>
        <w:keepLines w:val="0"/>
        <w:keepNext w:val="0"/>
        <w:pageBreakBefore w:val="0"/>
        <w:spacing w:line="400" w:lineRule="exact"/>
        <w:widowControl w:val="off"/>
        <w:rPr>
          <w:rFonts w:ascii="宋体" w:hAnsi="宋体"/>
          <w:color w:val="auto"/>
          <w:sz w:val="21"/>
          <w:szCs w:val="21"/>
          <w:highlight w:val="none"/>
        </w:rPr>
        <w:outlineLvl w:val="9"/>
      </w:pPr>
      <w:r>
        <w:rPr>
          <w:rFonts w:hint="eastAsia" w:ascii="宋体" w:hAnsi="宋体"/>
          <w:color w:val="auto"/>
          <w:sz w:val="21"/>
          <w:szCs w:val="21"/>
          <w:highlight w:val="none"/>
        </w:rPr>
        <w:t xml:space="preserve">供应商需承诺本项目所形成的数据及报告归采购人所有。供应商应严格遵守采购人关于信息安全和保密方面的规定，未经采购人授权和同意，供应商不得将数据和报告发送给任何第三方，必须有严格的数据保密措施，保证这些信息在项目期间及项目后规定时间内的安全，如发生数据泄密，采购人有权要求服务方采取措施消除影响，并赔偿采购人损失，影响严重的将追究法律责任。</w:t>
      </w:r>
      <w:r/>
    </w:p>
    <w:p>
      <w:pPr>
        <w:numPr>
          <w:ilvl w:val="0"/>
          <w:numId w:val="16"/>
        </w:numPr>
        <w:ind w:left="567" w:hanging="567"/>
        <w:keepLines w:val="0"/>
        <w:keepNext w:val="0"/>
        <w:pageBreakBefore w:val="0"/>
        <w:spacing w:line="400" w:lineRule="exact"/>
        <w:widowControl w:val="off"/>
        <w:rPr>
          <w:rFonts w:ascii="宋体" w:hAnsi="宋体"/>
          <w:color w:val="auto"/>
          <w:sz w:val="21"/>
          <w:szCs w:val="21"/>
          <w:highlight w:val="none"/>
        </w:rPr>
      </w:pPr>
      <w:r>
        <w:rPr>
          <w:rFonts w:hint="eastAsia" w:ascii="宋体" w:hAnsi="宋体" w:eastAsia="宋体" w:cs="宋体"/>
          <w:b w:val="0"/>
          <w:bCs w:val="0"/>
          <w:color w:val="auto"/>
          <w:sz w:val="21"/>
          <w:szCs w:val="21"/>
          <w:highlight w:val="none"/>
          <w:lang w:val="en-US" w:eastAsia="zh-CN" w:bidi="ar"/>
        </w:rPr>
        <w:t xml:space="preserve">服务</w:t>
      </w:r>
      <w:r>
        <w:rPr>
          <w:rFonts w:hint="eastAsia" w:ascii="宋体" w:hAnsi="宋体"/>
          <w:color w:val="auto"/>
          <w:sz w:val="21"/>
          <w:szCs w:val="21"/>
          <w:highlight w:val="none"/>
        </w:rPr>
        <w:t xml:space="preserve">响应</w:t>
      </w:r>
      <w:r/>
    </w:p>
    <w:p>
      <w:pPr>
        <w:pStyle w:val="1019"/>
        <w:numPr>
          <w:ilvl w:val="0"/>
          <w:numId w:val="0"/>
        </w:numPr>
        <w:ind w:firstLine="567"/>
        <w:keepLines w:val="0"/>
        <w:keepNext w:val="0"/>
        <w:pageBreakBefore w:val="0"/>
        <w:spacing w:line="400" w:lineRule="exact"/>
        <w:widowControl w:val="off"/>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投标单位</w:t>
      </w:r>
      <w:r>
        <w:rPr>
          <w:rFonts w:hint="eastAsia" w:ascii="宋体" w:hAnsi="宋体"/>
          <w:bCs/>
          <w:color w:val="auto"/>
          <w:sz w:val="21"/>
          <w:szCs w:val="21"/>
          <w:highlight w:val="none"/>
        </w:rPr>
        <w:t xml:space="preserve">需提供7×24小时响应服务，</w:t>
      </w:r>
      <w:r>
        <w:rPr>
          <w:rFonts w:hint="eastAsia" w:ascii="宋体" w:hAnsi="宋体"/>
          <w:color w:val="auto"/>
          <w:sz w:val="21"/>
          <w:szCs w:val="21"/>
          <w:highlight w:val="none"/>
        </w:rPr>
        <w:t xml:space="preserve">采购人有需求时，供应商应在</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小时内响应，采购人有应急需求时，供应商需安排人员24小时随时待命，接到任务通知后1小时内完成所有准备工作，并根据采购人需求完成项目。</w:t>
      </w:r>
      <w:r/>
    </w:p>
    <w:p>
      <w:pPr>
        <w:pStyle w:val="1122"/>
        <w:numPr>
          <w:ilvl w:val="0"/>
          <w:numId w:val="13"/>
        </w:numPr>
        <w:ind w:left="567" w:hanging="567"/>
        <w:keepLines w:val="0"/>
        <w:keepNext w:val="0"/>
        <w:pageBreakBefore w:val="0"/>
        <w:spacing w:line="400" w:lineRule="exact"/>
        <w:rPr>
          <w:rFonts w:hint="default"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项目成果要求</w:t>
      </w:r>
      <w:r/>
    </w:p>
    <w:p>
      <w:pPr>
        <w:numPr>
          <w:ilvl w:val="0"/>
          <w:numId w:val="17"/>
        </w:numPr>
        <w:ind w:left="567" w:hanging="567"/>
        <w:keepLines w:val="0"/>
        <w:keepNext w:val="0"/>
        <w:pageBreakBefore w:val="0"/>
        <w:spacing w:line="400" w:lineRule="exact"/>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空气质量研判分析月报12份；</w:t>
      </w:r>
      <w:r/>
    </w:p>
    <w:p>
      <w:pPr>
        <w:numPr>
          <w:ilvl w:val="0"/>
          <w:numId w:val="17"/>
        </w:numPr>
        <w:ind w:left="567" w:hanging="567"/>
        <w:keepLines w:val="0"/>
        <w:keepNext w:val="0"/>
        <w:pageBreakBefore w:val="0"/>
        <w:spacing w:line="400" w:lineRule="exact"/>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突高高值简要分析报告（如有）；</w:t>
      </w:r>
      <w:r/>
    </w:p>
    <w:p>
      <w:pPr>
        <w:numPr>
          <w:ilvl w:val="0"/>
          <w:numId w:val="17"/>
        </w:numPr>
        <w:ind w:left="567" w:hanging="567"/>
        <w:keepLines w:val="0"/>
        <w:keepNext w:val="0"/>
        <w:pageBreakBefore w:val="0"/>
        <w:spacing w:line="400" w:lineRule="exact"/>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应急走航监测报告</w:t>
      </w:r>
      <w:r>
        <w:rPr>
          <w:rFonts w:hint="eastAsia" w:ascii="宋体" w:hAnsi="宋体" w:cs="Times New Roman"/>
          <w:color w:val="auto"/>
          <w:sz w:val="21"/>
          <w:szCs w:val="21"/>
          <w:highlight w:val="none"/>
          <w:lang w:val="en-US" w:eastAsia="zh-CN"/>
        </w:rPr>
        <w:t xml:space="preserve">24</w:t>
      </w:r>
      <w:r>
        <w:rPr>
          <w:rFonts w:hint="eastAsia" w:ascii="宋体" w:hAnsi="宋体" w:eastAsia="宋体" w:cs="Times New Roman"/>
          <w:color w:val="auto"/>
          <w:sz w:val="21"/>
          <w:szCs w:val="21"/>
          <w:highlight w:val="none"/>
          <w:lang w:val="en-US" w:eastAsia="zh-CN"/>
        </w:rPr>
        <w:t xml:space="preserve">份；</w:t>
      </w:r>
      <w:r/>
    </w:p>
    <w:p>
      <w:pPr>
        <w:numPr>
          <w:ilvl w:val="0"/>
          <w:numId w:val="17"/>
        </w:numPr>
        <w:ind w:left="567" w:hanging="567"/>
        <w:keepLines w:val="0"/>
        <w:keepNext w:val="0"/>
        <w:pageBreakBefore w:val="0"/>
        <w:spacing w:line="400" w:lineRule="exact"/>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道路积尘负荷走航报告12份；</w:t>
      </w:r>
      <w:r/>
    </w:p>
    <w:p>
      <w:pPr>
        <w:numPr>
          <w:ilvl w:val="0"/>
          <w:numId w:val="17"/>
        </w:numPr>
        <w:ind w:left="567" w:hanging="567"/>
        <w:keepLines w:val="0"/>
        <w:keepNext w:val="0"/>
        <w:pageBreakBefore w:val="0"/>
        <w:spacing w:line="400" w:lineRule="exact"/>
        <w:widowControl w:val="off"/>
        <w:rPr>
          <w:rFonts w:hint="eastAsia"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项目总结报告（合同期满后提交）</w:t>
      </w:r>
      <w:r>
        <w:rPr>
          <w:rFonts w:hint="eastAsia" w:ascii="宋体" w:hAnsi="宋体" w:eastAsia="宋体" w:cs="Times New Roman"/>
          <w:color w:val="auto"/>
          <w:sz w:val="21"/>
          <w:szCs w:val="21"/>
          <w:highlight w:val="none"/>
          <w:lang w:val="en-US" w:eastAsia="zh-CN"/>
        </w:rPr>
        <w:t xml:space="preserve">。</w:t>
      </w:r>
      <w:r/>
    </w:p>
    <w:p>
      <w:pPr>
        <w:pStyle w:val="1122"/>
        <w:numPr>
          <w:ilvl w:val="0"/>
          <w:numId w:val="13"/>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备件与耗材要求</w:t>
      </w:r>
      <w:r/>
    </w:p>
    <w:p>
      <w:pPr>
        <w:ind w:firstLine="420"/>
        <w:keepLines w:val="0"/>
        <w:keepNext w:val="0"/>
        <w:pageBreakBefore w:val="0"/>
        <w:spacing w:line="400" w:lineRule="exact"/>
        <w:widowControl w:val="off"/>
        <w:rPr>
          <w:rFonts w:hint="eastAsia"/>
          <w:color w:val="auto"/>
          <w:highlight w:val="none"/>
          <w:lang w:val="en-US" w:eastAsia="zh-CN"/>
        </w:rPr>
        <w:outlineLvl w:val="9"/>
      </w:pP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rPr>
        <w:t xml:space="preserve">需承诺本项目实施期内提供相关设备及车辆的所有备件、耗材、汽油及车辆保险等，保障系统正常工作、数据质量可靠。</w:t>
      </w:r>
      <w:r/>
    </w:p>
    <w:p>
      <w:pPr>
        <w:pStyle w:val="1122"/>
        <w:numPr>
          <w:ilvl w:val="0"/>
          <w:numId w:val="13"/>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合同履约期限</w:t>
      </w:r>
      <w:r/>
    </w:p>
    <w:p>
      <w:pPr>
        <w:pStyle w:val="1122"/>
        <w:ind w:firstLine="567"/>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合同签订后12个月。</w:t>
      </w:r>
      <w:r/>
    </w:p>
    <w:p>
      <w:pPr>
        <w:numPr>
          <w:ilvl w:val="0"/>
          <w:numId w:val="5"/>
        </w:numPr>
        <w:ind w:left="567" w:hanging="567"/>
        <w:keepLines w:val="0"/>
        <w:keepNext w:val="0"/>
        <w:pageBreakBefore w:val="0"/>
        <w:spacing w:line="400" w:lineRule="exact"/>
        <w:tabs>
          <w:tab w:val="clear" w:pos="420" w:leader="none"/>
          <w:tab w:val="left" w:pos="567" w:leader="none"/>
        </w:tabs>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zh-CN" w:eastAsia="zh-CN"/>
        </w:rPr>
        <w:t xml:space="preserve">综合</w:t>
      </w:r>
      <w:r>
        <w:rPr>
          <w:rFonts w:hint="eastAsia" w:ascii="宋体" w:hAnsi="宋体" w:eastAsia="宋体" w:cs="宋体"/>
          <w:b/>
          <w:bCs/>
          <w:color w:val="auto"/>
          <w:spacing w:val="0"/>
          <w:sz w:val="21"/>
          <w:szCs w:val="21"/>
          <w:highlight w:val="none"/>
          <w:lang w:val="en-US" w:eastAsia="zh-CN"/>
        </w:rPr>
        <w:t xml:space="preserve">说明</w:t>
      </w:r>
      <w:r/>
    </w:p>
    <w:p>
      <w:pPr>
        <w:pStyle w:val="968"/>
        <w:numPr>
          <w:ilvl w:val="0"/>
          <w:numId w:val="18"/>
        </w:numPr>
        <w:ind w:left="567" w:hanging="567"/>
        <w:keepLines w:val="0"/>
        <w:keepNext w:val="0"/>
        <w:pageBreakBefore w:val="0"/>
        <w:spacing w:after="0" w:line="400" w:lineRule="exac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供应商必须说明其是否响应采购文件中提出的全部服务内容与要求，如果其中某些条款不响应时，必须在文件中逐条列出。</w:t>
      </w:r>
      <w:r/>
    </w:p>
    <w:p>
      <w:pPr>
        <w:pStyle w:val="968"/>
        <w:numPr>
          <w:ilvl w:val="0"/>
          <w:numId w:val="18"/>
        </w:numPr>
        <w:ind w:left="567" w:hanging="567"/>
        <w:keepLines w:val="0"/>
        <w:keepNext w:val="0"/>
        <w:pageBreakBefore w:val="0"/>
        <w:spacing w:after="0" w:line="400" w:lineRule="exac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成交单位在项目实施过程中，未经采购人批准，不得随意更换项目组成员。如果采购人认为技术服务人员不具备本次服务工作所需的技术能力，有权随时要求成交单位对该成员进行更换。项目实施人员在服务期间内出现的工伤及其他意外事故，均由成交单位自行负责，</w:t>
      </w:r>
      <w:r>
        <w:rPr>
          <w:rFonts w:hint="eastAsia" w:ascii="宋体" w:hAnsi="宋体" w:eastAsia="宋体" w:cs="宋体"/>
          <w:color w:val="auto"/>
          <w:spacing w:val="0"/>
          <w:sz w:val="21"/>
          <w:szCs w:val="21"/>
          <w:highlight w:val="none"/>
          <w:lang w:eastAsia="zh-CN"/>
        </w:rPr>
        <w:t xml:space="preserve">采购人</w:t>
      </w:r>
      <w:r>
        <w:rPr>
          <w:rFonts w:hint="eastAsia" w:ascii="宋体" w:hAnsi="宋体" w:eastAsia="宋体" w:cs="宋体"/>
          <w:color w:val="auto"/>
          <w:spacing w:val="0"/>
          <w:sz w:val="21"/>
          <w:szCs w:val="21"/>
          <w:highlight w:val="none"/>
        </w:rPr>
        <w:t xml:space="preserve">不承担任何责任。</w:t>
      </w:r>
      <w:r/>
    </w:p>
    <w:p>
      <w:pPr>
        <w:pStyle w:val="968"/>
        <w:numPr>
          <w:ilvl w:val="0"/>
          <w:numId w:val="18"/>
        </w:numPr>
        <w:ind w:left="567" w:hanging="567"/>
        <w:keepLines w:val="0"/>
        <w:keepNext w:val="0"/>
        <w:pageBreakBefore w:val="0"/>
        <w:spacing w:after="0" w:line="400" w:lineRule="exact"/>
        <w:widowControl/>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履约验收要求</w:t>
      </w:r>
      <w:r/>
    </w:p>
    <w:p>
      <w:pPr>
        <w:numPr>
          <w:ilvl w:val="0"/>
          <w:numId w:val="19"/>
        </w:numPr>
        <w:ind w:left="567" w:hanging="567"/>
        <w:keepLines w:val="0"/>
        <w:keepNext w:val="0"/>
        <w:pageBreakBefore w:val="0"/>
        <w:spacing w:line="400" w:lineRule="exact"/>
        <w:widowControl w:val="off"/>
        <w:rPr>
          <w:rFonts w:hint="eastAsia"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履约验收时间</w:t>
      </w:r>
      <w:r>
        <w:rPr>
          <w:rFonts w:hint="eastAsia" w:ascii="宋体" w:hAnsi="宋体" w:cs="宋体"/>
          <w:color w:val="auto"/>
          <w:sz w:val="21"/>
          <w:szCs w:val="21"/>
          <w:highlight w:val="none"/>
          <w:u w:val="none"/>
          <w:shd w:val="clear" w:color="auto" w:fill="auto"/>
          <w:lang w:val="en-US" w:eastAsia="zh-CN"/>
        </w:rPr>
        <w:t xml:space="preserve">：本项目采购人采用日常服务考核与最终成果验收相结合的方式对供应商日常提供的服务以及提交的所有项目成果进行验收，项目成果于供应商递交后一个月内组织验收小组对提交的所有成果进行查阅、评审、验收，提出验收意见。</w:t>
      </w:r>
      <w:r/>
    </w:p>
    <w:p>
      <w:pPr>
        <w:numPr>
          <w:ilvl w:val="0"/>
          <w:numId w:val="19"/>
        </w:numPr>
        <w:ind w:left="567" w:hanging="567"/>
        <w:keepLines w:val="0"/>
        <w:keepNext w:val="0"/>
        <w:pageBreakBefore w:val="0"/>
        <w:spacing w:line="400" w:lineRule="exact"/>
        <w:widowControl w:val="off"/>
        <w:rPr>
          <w:rFonts w:hint="eastAsia"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验收考核标准：本项目工作应依据国家、行业及上级部门相关文件标准、规范等要求开展，日常考核根据服务考评实施细则进行考核，最终项目工作成果采购人根据实际工作需求及相关文件规范进行验收。</w:t>
      </w:r>
      <w:r/>
    </w:p>
    <w:p>
      <w:pPr>
        <w:numPr>
          <w:ilvl w:val="0"/>
          <w:numId w:val="19"/>
        </w:numPr>
        <w:ind w:left="567" w:hanging="567"/>
        <w:keepLines w:val="0"/>
        <w:keepNext w:val="0"/>
        <w:pageBreakBefore w:val="0"/>
        <w:spacing w:line="400" w:lineRule="exact"/>
        <w:widowControl w:val="off"/>
        <w:rPr>
          <w:rFonts w:hint="eastAsia"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考核</w:t>
      </w:r>
      <w:r>
        <w:rPr>
          <w:rFonts w:hint="default" w:ascii="宋体" w:hAnsi="宋体" w:cs="宋体"/>
          <w:color w:val="auto"/>
          <w:sz w:val="21"/>
          <w:szCs w:val="21"/>
          <w:highlight w:val="none"/>
          <w:shd w:val="clear" w:color="auto" w:fill="auto"/>
          <w:lang w:val="en-US" w:eastAsia="zh-CN"/>
        </w:rPr>
        <w:t xml:space="preserve">验收合格的，</w:t>
      </w:r>
      <w:r>
        <w:rPr>
          <w:rFonts w:hint="eastAsia" w:ascii="宋体" w:hAnsi="宋体" w:cs="宋体"/>
          <w:color w:val="auto"/>
          <w:sz w:val="21"/>
          <w:szCs w:val="21"/>
          <w:highlight w:val="none"/>
          <w:shd w:val="clear" w:color="auto" w:fill="auto"/>
          <w:lang w:val="en-US" w:eastAsia="zh-CN"/>
        </w:rPr>
        <w:t xml:space="preserve">采购人</w:t>
      </w:r>
      <w:r>
        <w:rPr>
          <w:rFonts w:hint="default" w:ascii="宋体" w:hAnsi="宋体" w:cs="宋体"/>
          <w:color w:val="auto"/>
          <w:sz w:val="21"/>
          <w:szCs w:val="21"/>
          <w:highlight w:val="none"/>
          <w:shd w:val="clear" w:color="auto" w:fill="auto"/>
          <w:lang w:val="en-US" w:eastAsia="zh-CN"/>
        </w:rPr>
        <w:t xml:space="preserve">根据采购合同约定及时向</w:t>
      </w:r>
      <w:r>
        <w:rPr>
          <w:rFonts w:hint="eastAsia" w:ascii="宋体" w:hAnsi="宋体" w:cs="宋体"/>
          <w:color w:val="auto"/>
          <w:sz w:val="21"/>
          <w:szCs w:val="21"/>
          <w:highlight w:val="none"/>
          <w:shd w:val="clear" w:color="auto" w:fill="auto"/>
          <w:lang w:val="en-US" w:eastAsia="zh-CN"/>
        </w:rPr>
        <w:t xml:space="preserve">供应商</w:t>
      </w:r>
      <w:r>
        <w:rPr>
          <w:rFonts w:hint="default" w:ascii="宋体" w:hAnsi="宋体" w:cs="宋体"/>
          <w:color w:val="auto"/>
          <w:sz w:val="21"/>
          <w:szCs w:val="21"/>
          <w:highlight w:val="none"/>
          <w:shd w:val="clear" w:color="auto" w:fill="auto"/>
          <w:lang w:val="en-US" w:eastAsia="zh-CN"/>
        </w:rPr>
        <w:t xml:space="preserve">支付采购资金</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项目</w:t>
      </w:r>
      <w:r>
        <w:rPr>
          <w:rFonts w:hint="eastAsia" w:ascii="宋体" w:hAnsi="宋体" w:cs="宋体"/>
          <w:color w:val="auto"/>
          <w:sz w:val="21"/>
          <w:szCs w:val="21"/>
          <w:highlight w:val="none"/>
          <w:shd w:val="clear" w:color="auto" w:fill="auto"/>
          <w:lang w:val="en-US" w:eastAsia="zh-CN"/>
        </w:rPr>
        <w:t xml:space="preserve">考核</w:t>
      </w:r>
      <w:r>
        <w:rPr>
          <w:rFonts w:hint="default" w:ascii="宋体" w:hAnsi="宋体" w:cs="宋体"/>
          <w:color w:val="auto"/>
          <w:sz w:val="21"/>
          <w:szCs w:val="21"/>
          <w:highlight w:val="none"/>
          <w:shd w:val="clear" w:color="auto" w:fill="auto"/>
          <w:lang w:val="en-US" w:eastAsia="zh-CN"/>
        </w:rPr>
        <w:t xml:space="preserve">验收不合格的，</w:t>
      </w:r>
      <w:r>
        <w:rPr>
          <w:rFonts w:hint="eastAsia" w:ascii="宋体" w:hAnsi="宋体" w:cs="宋体"/>
          <w:color w:val="auto"/>
          <w:sz w:val="21"/>
          <w:szCs w:val="21"/>
          <w:highlight w:val="none"/>
          <w:shd w:val="clear" w:color="auto" w:fill="auto"/>
          <w:lang w:val="en-US" w:eastAsia="zh-CN"/>
        </w:rPr>
        <w:t xml:space="preserve">日常考核根据考评细则进行相应扣款，成果验收根据验收意见供应商进行限期整改，直到满足验收要求为止，否则采购人将不予</w:t>
      </w:r>
      <w:r>
        <w:rPr>
          <w:rFonts w:hint="default" w:ascii="宋体" w:hAnsi="宋体" w:cs="宋体"/>
          <w:color w:val="auto"/>
          <w:sz w:val="21"/>
          <w:szCs w:val="21"/>
          <w:highlight w:val="none"/>
          <w:shd w:val="clear" w:color="auto" w:fill="auto"/>
          <w:lang w:val="en-US" w:eastAsia="zh-CN"/>
        </w:rPr>
        <w:t xml:space="preserve">支付</w:t>
      </w:r>
      <w:r>
        <w:rPr>
          <w:rFonts w:hint="eastAsia" w:ascii="宋体" w:hAnsi="宋体" w:cs="宋体"/>
          <w:color w:val="auto"/>
          <w:sz w:val="21"/>
          <w:szCs w:val="21"/>
          <w:highlight w:val="none"/>
          <w:shd w:val="clear" w:color="auto" w:fill="auto"/>
          <w:lang w:val="en-US" w:eastAsia="zh-CN"/>
        </w:rPr>
        <w:t xml:space="preserve">相应合同款项</w:t>
      </w:r>
      <w:r>
        <w:rPr>
          <w:rFonts w:hint="default" w:ascii="宋体" w:hAnsi="宋体" w:cs="宋体"/>
          <w:color w:val="auto"/>
          <w:sz w:val="21"/>
          <w:szCs w:val="21"/>
          <w:highlight w:val="none"/>
          <w:shd w:val="clear" w:color="auto" w:fill="auto"/>
          <w:lang w:val="en-US" w:eastAsia="zh-CN"/>
        </w:rPr>
        <w:t xml:space="preserve">，并按照采购合同约定追究</w:t>
      </w:r>
      <w:r>
        <w:rPr>
          <w:rFonts w:hint="eastAsia" w:ascii="宋体" w:hAnsi="宋体" w:cs="宋体"/>
          <w:color w:val="auto"/>
          <w:sz w:val="21"/>
          <w:szCs w:val="21"/>
          <w:highlight w:val="none"/>
          <w:shd w:val="clear" w:color="auto" w:fill="auto"/>
          <w:lang w:val="en-US" w:eastAsia="zh-CN"/>
        </w:rPr>
        <w:t xml:space="preserve">供应商</w:t>
      </w:r>
      <w:r>
        <w:rPr>
          <w:rFonts w:hint="default" w:ascii="宋体" w:hAnsi="宋体" w:cs="宋体"/>
          <w:color w:val="auto"/>
          <w:sz w:val="21"/>
          <w:szCs w:val="21"/>
          <w:highlight w:val="none"/>
          <w:shd w:val="clear" w:color="auto" w:fill="auto"/>
          <w:lang w:val="en-US" w:eastAsia="zh-CN"/>
        </w:rPr>
        <w:t xml:space="preserve">违约责任</w:t>
      </w:r>
      <w:r>
        <w:rPr>
          <w:rFonts w:hint="eastAsia" w:ascii="宋体" w:hAnsi="宋体" w:cs="宋体"/>
          <w:color w:val="auto"/>
          <w:sz w:val="21"/>
          <w:szCs w:val="21"/>
          <w:highlight w:val="none"/>
          <w:shd w:val="clear" w:color="auto" w:fill="auto"/>
          <w:lang w:val="en-US" w:eastAsia="zh-CN"/>
        </w:rPr>
        <w:t xml:space="preserve">。</w:t>
      </w:r>
      <w:r/>
    </w:p>
    <w:p>
      <w:pPr>
        <w:numPr>
          <w:ilvl w:val="0"/>
          <w:numId w:val="19"/>
        </w:numPr>
        <w:ind w:left="567" w:hanging="567"/>
        <w:keepLines w:val="0"/>
        <w:keepNext w:val="0"/>
        <w:pageBreakBefore w:val="0"/>
        <w:spacing w:line="400" w:lineRule="exact"/>
        <w:widowControl w:val="off"/>
        <w:rPr>
          <w:rFonts w:hint="default" w:ascii="宋体" w:hAnsi="宋体" w:cs="宋体"/>
          <w:color w:val="auto"/>
          <w:sz w:val="21"/>
          <w:szCs w:val="21"/>
          <w:highlight w:val="none"/>
          <w:shd w:val="clear" w:color="auto" w:fill="auto"/>
          <w:lang w:val="en-US" w:eastAsia="zh-CN"/>
        </w:rPr>
      </w:pPr>
      <w:r>
        <w:rPr>
          <w:rFonts w:hint="default" w:ascii="宋体" w:hAnsi="宋体" w:cs="宋体"/>
          <w:color w:val="auto"/>
          <w:sz w:val="21"/>
          <w:szCs w:val="21"/>
          <w:highlight w:val="none"/>
          <w:shd w:val="clear" w:color="auto" w:fill="auto"/>
          <w:lang w:val="en-US" w:eastAsia="zh-CN"/>
        </w:rPr>
        <w:t xml:space="preserve">其他验收要求</w:t>
      </w:r>
      <w:r>
        <w:rPr>
          <w:rFonts w:hint="eastAsia" w:ascii="宋体" w:hAnsi="宋体" w:cs="宋体"/>
          <w:color w:val="auto"/>
          <w:sz w:val="21"/>
          <w:szCs w:val="21"/>
          <w:highlight w:val="none"/>
          <w:shd w:val="clear" w:color="auto" w:fill="auto"/>
          <w:lang w:val="en-US" w:eastAsia="zh-CN"/>
        </w:rPr>
        <w:t xml:space="preserve">参</w:t>
      </w:r>
      <w:r>
        <w:rPr>
          <w:rFonts w:hint="default" w:ascii="宋体" w:hAnsi="宋体" w:cs="宋体"/>
          <w:color w:val="auto"/>
          <w:sz w:val="21"/>
          <w:szCs w:val="21"/>
          <w:highlight w:val="none"/>
          <w:shd w:val="clear" w:color="auto" w:fill="auto"/>
          <w:lang w:val="en-US" w:eastAsia="zh-CN"/>
        </w:rPr>
        <w:t xml:space="preserve">照《江苏省政府采购履约验收管理办法》规定执行</w:t>
      </w:r>
      <w:r>
        <w:rPr>
          <w:rFonts w:hint="eastAsia" w:ascii="宋体" w:hAnsi="宋体" w:cs="宋体"/>
          <w:color w:val="auto"/>
          <w:sz w:val="21"/>
          <w:szCs w:val="21"/>
          <w:highlight w:val="none"/>
          <w:shd w:val="clear" w:color="auto" w:fill="auto"/>
          <w:lang w:val="en-US" w:eastAsia="zh-CN"/>
        </w:rPr>
        <w:t xml:space="preserve">，考评实施细则详见附件</w:t>
      </w:r>
      <w:r>
        <w:rPr>
          <w:rFonts w:hint="default" w:ascii="宋体" w:hAnsi="宋体" w:cs="宋体"/>
          <w:color w:val="auto"/>
          <w:sz w:val="21"/>
          <w:szCs w:val="21"/>
          <w:highlight w:val="none"/>
          <w:shd w:val="clear" w:color="auto" w:fill="auto"/>
          <w:lang w:val="en-US" w:eastAsia="zh-CN"/>
        </w:rPr>
        <w:t xml:space="preserve">。</w:t>
      </w:r>
      <w:r/>
    </w:p>
    <w:p>
      <w:pPr>
        <w:pStyle w:val="968"/>
        <w:numPr>
          <w:ilvl w:val="0"/>
          <w:numId w:val="18"/>
        </w:numPr>
        <w:ind w:left="567" w:hanging="567"/>
        <w:keepLines w:val="0"/>
        <w:keepNext w:val="0"/>
        <w:pageBreakBefore w:val="0"/>
        <w:spacing w:after="0" w:line="400" w:lineRule="exac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响应供应商成交后提供服务均为按国家规格条例的合格正规服务、符合规范要求。</w:t>
      </w:r>
      <w:r/>
    </w:p>
    <w:p>
      <w:pPr>
        <w:pStyle w:val="968"/>
        <w:numPr>
          <w:ilvl w:val="0"/>
          <w:numId w:val="18"/>
        </w:numPr>
        <w:ind w:left="567" w:hanging="567"/>
        <w:keepLines w:val="0"/>
        <w:keepNext w:val="0"/>
        <w:pageBreakBefore w:val="0"/>
        <w:spacing w:after="0" w:line="400" w:lineRule="exac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响应供应商应能保证所提供服务涉及到的知识产权是合法取得，并享有完整的知识产权，不会因为</w:t>
      </w:r>
      <w:r>
        <w:rPr>
          <w:rFonts w:hint="eastAsia" w:ascii="宋体" w:hAnsi="宋体" w:eastAsia="宋体" w:cs="宋体"/>
          <w:color w:val="auto"/>
          <w:spacing w:val="0"/>
          <w:sz w:val="21"/>
          <w:szCs w:val="21"/>
          <w:highlight w:val="none"/>
          <w:lang w:eastAsia="zh-CN"/>
        </w:rPr>
        <w:t xml:space="preserve">采购人</w:t>
      </w:r>
      <w:r>
        <w:rPr>
          <w:rFonts w:hint="eastAsia" w:ascii="宋体" w:hAnsi="宋体" w:eastAsia="宋体" w:cs="宋体"/>
          <w:color w:val="auto"/>
          <w:spacing w:val="0"/>
          <w:sz w:val="21"/>
          <w:szCs w:val="21"/>
          <w:highlight w:val="none"/>
        </w:rPr>
        <w:t xml:space="preserve">的使用而被责令停止使用、追偿或要求赔偿损失，如出现此情况，一切经济和法律责任均由</w:t>
      </w:r>
      <w:r>
        <w:rPr>
          <w:rFonts w:hint="eastAsia" w:ascii="宋体" w:hAnsi="宋体" w:eastAsia="宋体" w:cs="宋体"/>
          <w:color w:val="auto"/>
          <w:spacing w:val="0"/>
          <w:sz w:val="21"/>
          <w:szCs w:val="21"/>
          <w:highlight w:val="none"/>
          <w:lang w:eastAsia="zh-CN"/>
        </w:rPr>
        <w:t xml:space="preserve">供应商</w:t>
      </w:r>
      <w:r>
        <w:rPr>
          <w:rFonts w:hint="eastAsia" w:ascii="宋体" w:hAnsi="宋体" w:eastAsia="宋体" w:cs="宋体"/>
          <w:color w:val="auto"/>
          <w:spacing w:val="0"/>
          <w:sz w:val="21"/>
          <w:szCs w:val="21"/>
          <w:highlight w:val="none"/>
        </w:rPr>
        <w:t xml:space="preserve">承担。</w:t>
      </w:r>
      <w:r>
        <w:rPr>
          <w:rFonts w:hint="eastAsia" w:ascii="宋体" w:hAnsi="宋体" w:eastAsia="宋体" w:cs="宋体"/>
          <w:color w:val="auto"/>
          <w:spacing w:val="0"/>
          <w:sz w:val="21"/>
          <w:szCs w:val="21"/>
          <w:highlight w:val="none"/>
          <w:lang w:eastAsia="zh-CN"/>
        </w:rPr>
        <w:t xml:space="preserve">供应商</w:t>
      </w:r>
      <w:r>
        <w:rPr>
          <w:rFonts w:hint="eastAsia" w:ascii="宋体" w:hAnsi="宋体" w:eastAsia="宋体" w:cs="宋体"/>
          <w:color w:val="auto"/>
          <w:spacing w:val="0"/>
          <w:sz w:val="21"/>
          <w:szCs w:val="21"/>
          <w:highlight w:val="none"/>
        </w:rPr>
        <w:t xml:space="preserve">提供的所有服务必须质量符合国际或国家通用标准，如出现质量问题，供应商负责更正，发生的费用由供应商负责。</w:t>
      </w:r>
      <w:r/>
    </w:p>
    <w:p>
      <w:pPr>
        <w:numPr>
          <w:ilvl w:val="0"/>
          <w:numId w:val="5"/>
        </w:numPr>
        <w:ind w:left="525" w:hanging="525"/>
        <w:spacing w:line="400" w:lineRule="exact"/>
        <w:tabs>
          <w:tab w:val="clear" w:pos="420" w:leader="none"/>
          <w:tab w:val="left" w:pos="525" w:leader="none"/>
          <w:tab w:val="left" w:pos="567" w:leader="none"/>
        </w:tabs>
        <w:rPr>
          <w:rFonts w:ascii="宋体" w:hAnsi="宋体" w:cs="Arial"/>
          <w:b/>
          <w:bCs w:val="0"/>
          <w:color w:val="auto"/>
          <w:szCs w:val="21"/>
          <w:highlight w:val="none"/>
        </w:rPr>
      </w:pPr>
      <w:r>
        <w:rPr>
          <w:rFonts w:hint="eastAsia" w:ascii="宋体" w:hAnsi="宋体"/>
          <w:b/>
          <w:bCs w:val="0"/>
          <w:color w:val="auto"/>
          <w:szCs w:val="21"/>
          <w:highlight w:val="none"/>
        </w:rPr>
        <w:t xml:space="preserve">磋商</w:t>
      </w:r>
      <w:r>
        <w:rPr>
          <w:rFonts w:hint="eastAsia" w:ascii="宋体" w:hAnsi="宋体" w:cs="Arial"/>
          <w:b/>
          <w:bCs w:val="0"/>
          <w:color w:val="auto"/>
          <w:szCs w:val="21"/>
          <w:highlight w:val="none"/>
        </w:rPr>
        <w:t xml:space="preserve">响应文件的组成及要求：</w:t>
      </w:r>
      <w:r/>
    </w:p>
    <w:p>
      <w:pPr>
        <w:numPr>
          <w:ilvl w:val="0"/>
          <w:numId w:val="20"/>
        </w:numPr>
        <w:spacing w:line="400" w:lineRule="exact"/>
        <w:rPr>
          <w:rFonts w:ascii="宋体" w:hAnsi="宋体"/>
          <w:b/>
          <w:bCs/>
          <w:color w:val="auto"/>
          <w:szCs w:val="21"/>
          <w:highlight w:val="none"/>
        </w:rPr>
      </w:pPr>
      <w:r>
        <w:rPr>
          <w:rFonts w:hint="eastAsia" w:ascii="宋体" w:hAnsi="宋体"/>
          <w:b/>
          <w:bCs/>
          <w:color w:val="auto"/>
          <w:szCs w:val="21"/>
          <w:highlight w:val="none"/>
        </w:rPr>
        <w:t xml:space="preserve">文件组成：</w:t>
      </w:r>
      <w:r/>
    </w:p>
    <w:p>
      <w:pPr>
        <w:numPr>
          <w:ilvl w:val="0"/>
          <w:numId w:val="21"/>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磋商报价表</w:t>
      </w:r>
      <w:r/>
    </w:p>
    <w:p>
      <w:pPr>
        <w:numPr>
          <w:ilvl w:val="0"/>
          <w:numId w:val="21"/>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磋商分项报价明细表</w:t>
      </w:r>
      <w:r/>
    </w:p>
    <w:p>
      <w:pPr>
        <w:numPr>
          <w:ilvl w:val="0"/>
          <w:numId w:val="21"/>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其他针对本次磋商的详细说明</w:t>
      </w:r>
      <w:r/>
    </w:p>
    <w:p>
      <w:pPr>
        <w:numPr>
          <w:ilvl w:val="1"/>
          <w:numId w:val="21"/>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无对应模块上传的响应文件内容可传至此，含采购文件第五章中部分表格、内容。</w:t>
      </w:r>
      <w:r/>
    </w:p>
    <w:p>
      <w:pPr>
        <w:numPr>
          <w:ilvl w:val="0"/>
          <w:numId w:val="21"/>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资格审查响应文件</w:t>
      </w:r>
      <w:r/>
    </w:p>
    <w:p>
      <w:pPr>
        <w:numPr>
          <w:ilvl w:val="1"/>
          <w:numId w:val="21"/>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磋商响应函；</w:t>
      </w:r>
      <w:r/>
    </w:p>
    <w:p>
      <w:pPr>
        <w:numPr>
          <w:ilvl w:val="1"/>
          <w:numId w:val="21"/>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关于资格文件的声明函；</w:t>
      </w:r>
      <w:r/>
    </w:p>
    <w:p>
      <w:pPr>
        <w:numPr>
          <w:ilvl w:val="1"/>
          <w:numId w:val="21"/>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法定代表人授权委托书（如有授权）；</w:t>
      </w:r>
      <w:r/>
    </w:p>
    <w:p>
      <w:pPr>
        <w:numPr>
          <w:ilvl w:val="1"/>
          <w:numId w:val="21"/>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供应商的法定代表人身份证复印件、供应商代理人身份证复印件（如有授权）；</w:t>
      </w:r>
      <w:r/>
    </w:p>
    <w:p>
      <w:pPr>
        <w:numPr>
          <w:ilvl w:val="1"/>
          <w:numId w:val="21"/>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供应商参加政府采购活动应当具备的条件：</w:t>
      </w:r>
      <w:r/>
    </w:p>
    <w:p>
      <w:pPr>
        <w:numPr>
          <w:ilvl w:val="0"/>
          <w:numId w:val="22"/>
        </w:numPr>
        <w:spacing w:line="400" w:lineRule="exact"/>
        <w:tabs>
          <w:tab w:val="left" w:pos="54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具有独立承担民事责任的能力（提供法人或者其他组织的营业执照等证明文件）；</w:t>
      </w:r>
      <w:r/>
    </w:p>
    <w:p>
      <w:pPr>
        <w:numPr>
          <w:ilvl w:val="0"/>
          <w:numId w:val="22"/>
        </w:numPr>
        <w:spacing w:line="400" w:lineRule="exact"/>
        <w:tabs>
          <w:tab w:val="left" w:pos="54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具有良好的商业信誉和健全的财务会计制度（提供参加本次政府采购前的财务报表或银行出具的资信证明）；</w:t>
      </w:r>
      <w:r/>
    </w:p>
    <w:p>
      <w:pPr>
        <w:numPr>
          <w:ilvl w:val="0"/>
          <w:numId w:val="22"/>
        </w:numPr>
        <w:spacing w:line="400" w:lineRule="exact"/>
        <w:tabs>
          <w:tab w:val="left" w:pos="54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具有履行合同所必需的设备和专业技术能力（企业法人性质的政府采购供应商应在经工商管理部门核准登记注册的经营范围内参与经营活动，提供营业执照或其他证明材料）；</w:t>
      </w:r>
      <w:r/>
    </w:p>
    <w:p>
      <w:pPr>
        <w:numPr>
          <w:ilvl w:val="0"/>
          <w:numId w:val="22"/>
        </w:numPr>
        <w:spacing w:line="400" w:lineRule="exact"/>
        <w:tabs>
          <w:tab w:val="left" w:pos="540" w:leader="none"/>
          <w:tab w:val="left" w:pos="567" w:leader="none"/>
        </w:tabs>
        <w:rPr>
          <w:rFonts w:hint="eastAsia" w:ascii="宋体" w:hAnsi="宋体" w:eastAsia="宋体" w:cs="Times New Roman"/>
          <w:color w:val="auto"/>
          <w:szCs w:val="21"/>
          <w:highlight w:val="none"/>
        </w:rPr>
      </w:pPr>
      <w:r>
        <w:rPr>
          <w:rFonts w:hint="eastAsia" w:ascii="宋体" w:hAnsi="宋体"/>
          <w:color w:val="auto"/>
          <w:szCs w:val="21"/>
          <w:highlight w:val="none"/>
        </w:rPr>
        <w:t xml:space="preserve">有依</w:t>
      </w:r>
      <w:r>
        <w:rPr>
          <w:rFonts w:hint="eastAsia" w:ascii="宋体" w:hAnsi="宋体" w:eastAsia="宋体" w:cs="Times New Roman"/>
          <w:color w:val="auto"/>
          <w:szCs w:val="21"/>
          <w:highlight w:val="none"/>
        </w:rPr>
        <w:t xml:space="preserve">法缴纳税收和社会保障资金的良好记录（提供参加本次政府采购前一年内（至少一个月的）的依法缴纳税收和社会保障资金的相关材料）；</w:t>
      </w:r>
      <w:r/>
    </w:p>
    <w:p>
      <w:pPr>
        <w:numPr>
          <w:ilvl w:val="0"/>
          <w:numId w:val="22"/>
        </w:numPr>
        <w:spacing w:line="400" w:lineRule="exact"/>
        <w:tabs>
          <w:tab w:val="left" w:pos="540" w:leader="none"/>
          <w:tab w:val="left" w:pos="567"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参加政府采购活动前3年内在经营活动中没有重大违法记录（提供书面声明）</w:t>
      </w:r>
      <w:r>
        <w:rPr>
          <w:rFonts w:hint="eastAsia" w:ascii="宋体" w:hAnsi="宋体" w:cs="Times New Roman"/>
          <w:color w:val="auto"/>
          <w:szCs w:val="21"/>
          <w:highlight w:val="none"/>
          <w:lang w:eastAsia="zh-CN"/>
        </w:rPr>
        <w:t xml:space="preserve">。</w:t>
      </w:r>
      <w:r/>
    </w:p>
    <w:p>
      <w:pPr>
        <w:numPr>
          <w:ilvl w:val="0"/>
          <w:numId w:val="21"/>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符合性审查响应文件</w:t>
      </w:r>
      <w:r/>
    </w:p>
    <w:p>
      <w:pPr>
        <w:numPr>
          <w:ilvl w:val="1"/>
          <w:numId w:val="21"/>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服务要求、商务条款偏离表</w:t>
      </w:r>
      <w:r/>
    </w:p>
    <w:p>
      <w:pPr>
        <w:numPr>
          <w:ilvl w:val="1"/>
          <w:numId w:val="21"/>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投标（响应）保证承诺书</w:t>
      </w:r>
      <w:r/>
    </w:p>
    <w:p>
      <w:pPr>
        <w:numPr>
          <w:ilvl w:val="1"/>
          <w:numId w:val="21"/>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其他需供应商对本次响应的详细说明、承诺；</w:t>
      </w:r>
      <w:r/>
    </w:p>
    <w:p>
      <w:pPr>
        <w:numPr>
          <w:ilvl w:val="0"/>
          <w:numId w:val="21"/>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综合评审响应文件</w:t>
      </w:r>
      <w:r/>
    </w:p>
    <w:p>
      <w:pPr>
        <w:numPr>
          <w:ilvl w:val="1"/>
          <w:numId w:val="21"/>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项目具体实施方案；</w:t>
      </w:r>
      <w:r/>
    </w:p>
    <w:p>
      <w:pPr>
        <w:numPr>
          <w:ilvl w:val="1"/>
          <w:numId w:val="21"/>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服务期限、后续服务等承诺；</w:t>
      </w:r>
      <w:r/>
    </w:p>
    <w:p>
      <w:pPr>
        <w:numPr>
          <w:ilvl w:val="1"/>
          <w:numId w:val="21"/>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与本次磋商有关的其他资料、评分标准中所要求的相关材料。</w:t>
      </w:r>
      <w:r/>
    </w:p>
    <w:p>
      <w:pPr>
        <w:numPr>
          <w:ilvl w:val="0"/>
          <w:numId w:val="21"/>
        </w:numPr>
        <w:ind w:left="0" w:firstLine="0"/>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企业报价折扣证明</w:t>
      </w:r>
      <w:r/>
    </w:p>
    <w:p>
      <w:pPr>
        <w:numPr>
          <w:ilvl w:val="1"/>
          <w:numId w:val="21"/>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中型、小型或微型企业、残疾人企业、监狱企业的相关材料；</w:t>
      </w:r>
      <w:r/>
    </w:p>
    <w:p>
      <w:pPr>
        <w:numPr>
          <w:ilvl w:val="0"/>
          <w:numId w:val="20"/>
        </w:numPr>
        <w:spacing w:line="400" w:lineRule="exact"/>
        <w:rPr>
          <w:rFonts w:ascii="宋体" w:hAnsi="宋体"/>
          <w:b/>
          <w:bCs/>
          <w:color w:val="auto"/>
          <w:highlight w:val="none"/>
        </w:rPr>
      </w:pPr>
      <w:r>
        <w:rPr>
          <w:rFonts w:hint="eastAsia" w:ascii="宋体" w:hAnsi="宋体"/>
          <w:b/>
          <w:bCs/>
          <w:color w:val="auto"/>
          <w:highlight w:val="none"/>
        </w:rPr>
        <w:t xml:space="preserve">电子投标（响应）文件的编制与提交 </w:t>
      </w:r>
      <w:r/>
    </w:p>
    <w:p>
      <w:pPr>
        <w:numPr>
          <w:ilvl w:val="0"/>
          <w:numId w:val="2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电子响应文件按上述文件组成统一顺序、统一格式编写，并在首页编制“响应文件目录”。</w:t>
      </w:r>
      <w:r/>
    </w:p>
    <w:p>
      <w:pPr>
        <w:numPr>
          <w:ilvl w:val="0"/>
          <w:numId w:val="2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电子响应文件制作</w:t>
      </w:r>
      <w:r/>
    </w:p>
    <w:p>
      <w:pPr>
        <w:numPr>
          <w:ilvl w:val="1"/>
          <w:numId w:val="2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在苏采云系统中下载采购文件后，点击“客户端下载地址”，下载投标文件客户端，查看客户端使用说明。</w:t>
      </w:r>
      <w:r/>
    </w:p>
    <w:p>
      <w:pPr>
        <w:numPr>
          <w:ilvl w:val="1"/>
          <w:numId w:val="2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将下载的采购文件导入投标文件客户端，按照《操作手册》完成投标文件的编制和加盖电子签章。</w:t>
      </w:r>
      <w:r/>
    </w:p>
    <w:p>
      <w:pPr>
        <w:numPr>
          <w:ilvl w:val="1"/>
          <w:numId w:val="2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导出制作完成的投标文件，上传至苏采云系统。</w:t>
      </w:r>
      <w:r/>
    </w:p>
    <w:p>
      <w:pPr>
        <w:spacing w:line="400" w:lineRule="atLeast"/>
        <w:widowControl/>
        <w:rPr>
          <w:rFonts w:ascii="宋体" w:hAnsi="宋体"/>
          <w:color w:val="auto"/>
          <w:szCs w:val="21"/>
          <w:highlight w:val="none"/>
        </w:rPr>
      </w:pPr>
      <w:r>
        <w:rPr>
          <w:rFonts w:hint="eastAsia" w:ascii="宋体" w:hAnsi="宋体"/>
          <w:color w:val="auto"/>
          <w:szCs w:val="21"/>
          <w:highlight w:val="none"/>
        </w:rPr>
        <w:t xml:space="preserve">注：具体投标文件编制教程查看苏采云系统中的客户端使用说明和供应商《操作手册》。</w:t>
      </w:r>
      <w:r/>
    </w:p>
    <w:p>
      <w:pPr>
        <w:numPr>
          <w:ilvl w:val="0"/>
          <w:numId w:val="23"/>
        </w:numPr>
        <w:spacing w:line="400" w:lineRule="exact"/>
        <w:tabs>
          <w:tab w:val="left" w:pos="540" w:leader="none"/>
        </w:tabs>
        <w:rPr>
          <w:rFonts w:ascii="宋体" w:hAnsi="宋体"/>
          <w:color w:val="auto"/>
          <w:szCs w:val="21"/>
          <w:highlight w:val="none"/>
        </w:rPr>
      </w:pPr>
      <w:r>
        <w:rPr>
          <w:rFonts w:ascii="宋体" w:hAnsi="宋体"/>
          <w:color w:val="auto"/>
          <w:szCs w:val="21"/>
          <w:highlight w:val="none"/>
        </w:rPr>
      </w:r>
      <w:r>
        <w:rPr>
          <w:rFonts w:hint="eastAsia" w:ascii="宋体" w:hAnsi="宋体"/>
          <w:color w:val="auto"/>
          <w:szCs w:val="21"/>
          <w:highlight w:val="none"/>
        </w:rPr>
        <w:t xml:space="preserve">电子投标文件中的资料应按采购文件的要求加盖响应单位的电子签章或公章。</w:t>
      </w:r>
      <w:r/>
    </w:p>
    <w:p>
      <w:pPr>
        <w:numPr>
          <w:ilvl w:val="0"/>
          <w:numId w:val="2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未按照要求编制电子投标文件，未按照要求在电子投标文件上加盖电子签章的，均视为无效投标。</w:t>
      </w:r>
      <w:r/>
    </w:p>
    <w:p>
      <w:pPr>
        <w:numPr>
          <w:ilvl w:val="0"/>
          <w:numId w:val="5"/>
        </w:numPr>
        <w:ind w:left="525" w:hanging="525"/>
        <w:spacing w:line="400" w:lineRule="exact"/>
        <w:tabs>
          <w:tab w:val="clear" w:pos="420" w:leader="none"/>
          <w:tab w:val="left" w:pos="525" w:leader="none"/>
          <w:tab w:val="left" w:pos="567" w:leader="none"/>
        </w:tabs>
        <w:rPr>
          <w:rFonts w:ascii="宋体" w:hAnsi="宋体"/>
          <w:bCs/>
          <w:color w:val="auto"/>
          <w:szCs w:val="21"/>
          <w:highlight w:val="none"/>
        </w:rPr>
      </w:pPr>
      <w:r>
        <w:rPr>
          <w:rFonts w:hint="eastAsia" w:ascii="宋体" w:hAnsi="宋体"/>
          <w:bCs/>
          <w:color w:val="auto"/>
          <w:szCs w:val="21"/>
          <w:highlight w:val="none"/>
        </w:rPr>
        <w:t xml:space="preserve">磋商综合说明：</w:t>
      </w:r>
      <w:r/>
    </w:p>
    <w:p>
      <w:pPr>
        <w:numPr>
          <w:ilvl w:val="0"/>
          <w:numId w:val="24"/>
        </w:numPr>
        <w:ind w:left="567" w:hanging="567"/>
        <w:spacing w:line="400" w:lineRule="exact"/>
        <w:tabs>
          <w:tab w:val="left" w:pos="567" w:leader="none"/>
        </w:tabs>
        <w:rPr>
          <w:rFonts w:ascii="宋体" w:hAnsi="宋体"/>
          <w:color w:val="auto"/>
          <w:szCs w:val="21"/>
          <w:highlight w:val="none"/>
        </w:rPr>
      </w:pPr>
      <w:r>
        <w:rPr>
          <w:rFonts w:ascii="宋体" w:hAnsi="宋体"/>
          <w:color w:val="auto"/>
          <w:szCs w:val="21"/>
          <w:highlight w:val="none"/>
        </w:rPr>
        <w:t xml:space="preserve">本次</w:t>
      </w:r>
      <w:r>
        <w:rPr>
          <w:rFonts w:hint="eastAsia" w:ascii="宋体" w:hAnsi="宋体"/>
          <w:color w:val="auto"/>
          <w:szCs w:val="21"/>
          <w:highlight w:val="none"/>
        </w:rPr>
        <w:t xml:space="preserve">竞争性磋商</w:t>
      </w:r>
      <w:r>
        <w:rPr>
          <w:rFonts w:hint="eastAsia" w:ascii="宋体" w:hAnsi="宋体"/>
          <w:color w:val="auto"/>
          <w:szCs w:val="21"/>
          <w:highlight w:val="none"/>
          <w:lang w:val="en-US" w:eastAsia="zh-CN"/>
        </w:rPr>
        <w:t xml:space="preserve">分为两个</w:t>
      </w:r>
      <w:r>
        <w:rPr>
          <w:rFonts w:hint="eastAsia" w:ascii="宋体" w:hAnsi="宋体"/>
          <w:color w:val="auto"/>
          <w:szCs w:val="21"/>
          <w:highlight w:val="none"/>
        </w:rPr>
        <w:t xml:space="preserve">采购单元</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各标段</w:t>
      </w:r>
      <w:r>
        <w:rPr>
          <w:rFonts w:ascii="宋体" w:hAnsi="宋体"/>
          <w:color w:val="auto"/>
          <w:szCs w:val="21"/>
          <w:highlight w:val="none"/>
        </w:rPr>
        <w:t xml:space="preserve">供应商须对</w:t>
      </w:r>
      <w:r>
        <w:rPr>
          <w:rFonts w:hint="eastAsia" w:ascii="宋体" w:hAnsi="宋体"/>
          <w:color w:val="auto"/>
          <w:szCs w:val="21"/>
          <w:highlight w:val="none"/>
          <w:lang w:val="en-US" w:eastAsia="zh-CN"/>
        </w:rPr>
        <w:t xml:space="preserve">标段内</w:t>
      </w:r>
      <w:r>
        <w:rPr>
          <w:rFonts w:ascii="宋体" w:hAnsi="宋体"/>
          <w:color w:val="auto"/>
          <w:szCs w:val="21"/>
          <w:highlight w:val="none"/>
        </w:rPr>
        <w:t xml:space="preserve">全部内容进行响应</w:t>
      </w:r>
      <w:r>
        <w:rPr>
          <w:rFonts w:hint="eastAsia" w:ascii="宋体" w:hAnsi="宋体"/>
          <w:color w:val="auto"/>
          <w:szCs w:val="21"/>
          <w:highlight w:val="none"/>
        </w:rPr>
        <w:t xml:space="preserve">并报价</w:t>
      </w:r>
      <w:r>
        <w:rPr>
          <w:rFonts w:ascii="宋体" w:hAnsi="宋体"/>
          <w:color w:val="auto"/>
          <w:szCs w:val="21"/>
          <w:highlight w:val="none"/>
        </w:rPr>
        <w:t xml:space="preserve">，只</w:t>
      </w:r>
      <w:r>
        <w:rPr>
          <w:rFonts w:hint="eastAsia" w:ascii="宋体" w:hAnsi="宋体"/>
          <w:color w:val="auto"/>
          <w:szCs w:val="21"/>
          <w:highlight w:val="none"/>
        </w:rPr>
        <w:t xml:space="preserve">响应其中部分内容或只</w:t>
      </w:r>
      <w:r>
        <w:rPr>
          <w:rFonts w:ascii="宋体" w:hAnsi="宋体"/>
          <w:color w:val="auto"/>
          <w:szCs w:val="21"/>
          <w:highlight w:val="none"/>
        </w:rPr>
        <w:t xml:space="preserve">报其中部分内容的，</w:t>
      </w:r>
      <w:r>
        <w:rPr>
          <w:rFonts w:hint="eastAsia" w:ascii="宋体" w:hAnsi="宋体"/>
          <w:color w:val="auto"/>
          <w:szCs w:val="21"/>
          <w:highlight w:val="none"/>
        </w:rPr>
        <w:t xml:space="preserve">视为非实质性响应</w:t>
      </w:r>
      <w:r>
        <w:rPr>
          <w:rFonts w:ascii="宋体" w:hAnsi="宋体"/>
          <w:color w:val="auto"/>
          <w:szCs w:val="21"/>
          <w:highlight w:val="none"/>
        </w:rPr>
        <w:t xml:space="preserve">，并不得出现选择性报价。</w:t>
      </w:r>
      <w:r/>
    </w:p>
    <w:p>
      <w:pPr>
        <w:numPr>
          <w:ilvl w:val="0"/>
          <w:numId w:val="24"/>
        </w:numPr>
        <w:ind w:left="567" w:hanging="567"/>
        <w:spacing w:line="400" w:lineRule="exact"/>
        <w:tabs>
          <w:tab w:val="left" w:pos="567" w:leader="none"/>
        </w:tabs>
        <w:rPr>
          <w:rFonts w:ascii="宋体" w:hAnsi="宋体"/>
          <w:color w:val="auto"/>
          <w:szCs w:val="21"/>
          <w:highlight w:val="none"/>
        </w:rPr>
      </w:pPr>
      <w:r>
        <w:rPr>
          <w:rFonts w:hint="eastAsia" w:ascii="宋体" w:hAnsi="宋体"/>
          <w:color w:val="auto"/>
          <w:szCs w:val="21"/>
          <w:highlight w:val="none"/>
        </w:rPr>
        <w:t xml:space="preserve">磋商保证金：本项目不收取磋商保证金。</w:t>
      </w:r>
      <w:r/>
    </w:p>
    <w:p>
      <w:pPr>
        <w:numPr>
          <w:ilvl w:val="0"/>
          <w:numId w:val="24"/>
        </w:numPr>
        <w:ind w:left="567" w:hanging="567"/>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本项目采购预算不包括本项目代理服务费及专家评审费。</w:t>
      </w:r>
      <w:r/>
    </w:p>
    <w:p>
      <w:pPr>
        <w:numPr>
          <w:ilvl w:val="0"/>
          <w:numId w:val="24"/>
        </w:numPr>
        <w:ind w:left="567" w:hanging="567"/>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代理</w:t>
      </w:r>
      <w:r>
        <w:rPr>
          <w:rFonts w:hint="eastAsia" w:ascii="宋体" w:hAnsi="宋体" w:cs="宋体"/>
          <w:color w:val="auto"/>
          <w:szCs w:val="21"/>
          <w:highlight w:val="none"/>
        </w:rPr>
        <w:t xml:space="preserve">服务费：按</w:t>
      </w:r>
      <w:r>
        <w:rPr>
          <w:rFonts w:hint="eastAsia" w:ascii="宋体" w:hAnsi="宋体" w:cs="宋体"/>
          <w:color w:val="auto"/>
          <w:szCs w:val="21"/>
          <w:highlight w:val="none"/>
          <w:lang w:val="en-US" w:eastAsia="zh-CN"/>
        </w:rPr>
        <w:t xml:space="preserve">项目预算金额的1.5%</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标准收取</w:t>
      </w:r>
      <w:r>
        <w:rPr>
          <w:rFonts w:hint="eastAsia" w:ascii="宋体" w:hAnsi="宋体" w:cs="宋体"/>
          <w:color w:val="auto"/>
          <w:szCs w:val="21"/>
          <w:highlight w:val="none"/>
          <w:lang w:val="en-US" w:eastAsia="zh-CN"/>
        </w:rPr>
        <w:t xml:space="preserve">代理服务费</w:t>
      </w:r>
      <w:r>
        <w:rPr>
          <w:rFonts w:hint="eastAsia" w:ascii="宋体" w:hAnsi="宋体" w:cs="宋体"/>
          <w:color w:val="auto"/>
          <w:szCs w:val="21"/>
          <w:highlight w:val="none"/>
        </w:rPr>
        <w:t xml:space="preserve">，由</w:t>
      </w:r>
      <w:r>
        <w:rPr>
          <w:rFonts w:hint="eastAsia" w:ascii="宋体" w:hAnsi="宋体" w:cs="宋体"/>
          <w:color w:val="auto"/>
          <w:szCs w:val="21"/>
          <w:highlight w:val="none"/>
          <w:lang w:val="en-US" w:eastAsia="zh-CN"/>
        </w:rPr>
        <w:t xml:space="preserve">采购人</w:t>
      </w:r>
      <w:r>
        <w:rPr>
          <w:rFonts w:hint="eastAsia" w:ascii="宋体" w:hAnsi="宋体" w:cs="宋体"/>
          <w:color w:val="auto"/>
          <w:szCs w:val="21"/>
          <w:highlight w:val="none"/>
        </w:rPr>
        <w:t xml:space="preserve">向招标代理机构一次性付清。</w:t>
      </w:r>
      <w:r>
        <w:rPr>
          <w:rFonts w:hint="eastAsia" w:ascii="宋体" w:hAnsi="宋体" w:cs="宋体"/>
          <w:color w:val="auto"/>
          <w:szCs w:val="21"/>
          <w:highlight w:val="none"/>
          <w:lang w:val="en-US" w:eastAsia="zh-CN"/>
        </w:rPr>
        <w:t xml:space="preserve">本项目代理服务费为￥17200.00元。</w:t>
      </w:r>
      <w:r/>
    </w:p>
    <w:p>
      <w:pPr>
        <w:ind w:left="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交纳账户：苏州市原鑫招投标咨询服务有限公司</w:t>
      </w:r>
      <w:r/>
    </w:p>
    <w:p>
      <w:pPr>
        <w:ind w:left="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账号：543058193738</w:t>
      </w:r>
      <w:r/>
    </w:p>
    <w:p>
      <w:pPr>
        <w:ind w:left="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开户银行：中国银行苏州南园支行</w:t>
      </w:r>
      <w:r/>
    </w:p>
    <w:p>
      <w:pPr>
        <w:numPr>
          <w:ilvl w:val="0"/>
          <w:numId w:val="24"/>
        </w:numPr>
        <w:ind w:left="567" w:hanging="567"/>
        <w:spacing w:line="400" w:lineRule="exact"/>
        <w:tabs>
          <w:tab w:val="left" w:pos="567"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专家评审费：本项目专家评审费由采购人根据苏州市专家评审费标准的通知支付，金额为500元/人。</w:t>
      </w:r>
      <w:r/>
    </w:p>
    <w:p>
      <w:pPr>
        <w:numPr>
          <w:ilvl w:val="0"/>
          <w:numId w:val="24"/>
        </w:numPr>
        <w:ind w:left="567" w:hanging="567"/>
        <w:spacing w:line="400" w:lineRule="exact"/>
        <w:tabs>
          <w:tab w:val="left" w:pos="567" w:leader="none"/>
        </w:tabs>
        <w:rPr>
          <w:rFonts w:ascii="宋体" w:hAnsi="宋体"/>
          <w:color w:val="auto"/>
          <w:szCs w:val="21"/>
          <w:highlight w:val="none"/>
        </w:rPr>
      </w:pPr>
      <w:r>
        <w:rPr>
          <w:rFonts w:hint="eastAsia" w:ascii="宋体" w:hAnsi="宋体"/>
          <w:color w:val="auto"/>
          <w:szCs w:val="21"/>
          <w:highlight w:val="none"/>
        </w:rPr>
        <w:t xml:space="preserve">磋商说明：</w:t>
      </w:r>
      <w:r/>
    </w:p>
    <w:p>
      <w:pPr>
        <w:numPr>
          <w:ilvl w:val="0"/>
          <w:numId w:val="25"/>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不符合供应商资格要求的磋商响应文件将被拒绝；</w:t>
      </w:r>
      <w:r/>
    </w:p>
    <w:p>
      <w:pPr>
        <w:numPr>
          <w:ilvl w:val="0"/>
          <w:numId w:val="25"/>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参加磋商的供应商必须提供供应商代表的身份证明原件和法定代表人授权委托书原件（法定代表人为磋商代表的可不提供）；</w:t>
      </w:r>
      <w:r/>
    </w:p>
    <w:p>
      <w:pPr>
        <w:numPr>
          <w:ilvl w:val="0"/>
          <w:numId w:val="25"/>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磋商响应文件密封和签署不符合要求的，磋商响应文件将被拒绝；</w:t>
      </w:r>
      <w:r/>
    </w:p>
    <w:p>
      <w:pPr>
        <w:numPr>
          <w:ilvl w:val="0"/>
          <w:numId w:val="25"/>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不同投标（响应）人存在投标(响应)文件制作机器码一致的，视为无效响应； </w:t>
      </w:r>
      <w:r/>
    </w:p>
    <w:p>
      <w:pPr>
        <w:numPr>
          <w:ilvl w:val="0"/>
          <w:numId w:val="25"/>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实质性响应磋商文件不满三家、或进入二次报价的不满三家、或二次报价在采购预算内不满三家的，磋商采购失败。</w:t>
      </w:r>
      <w:r/>
    </w:p>
    <w:p>
      <w:pPr>
        <w:numPr>
          <w:ilvl w:val="0"/>
          <w:numId w:val="25"/>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最终合同单价按最终总报价同比例下（上）浮。</w:t>
      </w:r>
      <w:r/>
    </w:p>
    <w:p>
      <w:pPr>
        <w:numPr>
          <w:ilvl w:val="0"/>
          <w:numId w:val="24"/>
        </w:numPr>
        <w:ind w:left="567" w:hanging="567"/>
        <w:spacing w:line="400" w:lineRule="exact"/>
        <w:tabs>
          <w:tab w:val="left" w:pos="567" w:leader="none"/>
        </w:tabs>
        <w:rPr>
          <w:rFonts w:ascii="宋体" w:hAnsi="宋体"/>
          <w:color w:val="auto"/>
          <w:szCs w:val="21"/>
          <w:highlight w:val="none"/>
        </w:rPr>
      </w:pPr>
      <w:r>
        <w:rPr>
          <w:rFonts w:hint="eastAsia" w:ascii="宋体" w:hAnsi="宋体"/>
          <w:color w:val="auto"/>
          <w:szCs w:val="21"/>
          <w:highlight w:val="none"/>
        </w:rPr>
        <w:t xml:space="preserve">项目的终止</w:t>
      </w:r>
      <w:r/>
    </w:p>
    <w:p>
      <w:pPr>
        <w:ind w:firstLine="539"/>
        <w:spacing w:line="400" w:lineRule="exact"/>
        <w:rPr>
          <w:rFonts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终止采购活动：</w:t>
      </w:r>
      <w:r/>
    </w:p>
    <w:p>
      <w:pPr>
        <w:numPr>
          <w:ilvl w:val="0"/>
          <w:numId w:val="26"/>
        </w:numPr>
        <w:ind w:left="1080" w:hanging="540"/>
        <w:spacing w:line="400" w:lineRule="exact"/>
        <w:tabs>
          <w:tab w:val="left" w:pos="1080" w:leader="none"/>
        </w:tabs>
        <w:rPr>
          <w:rFonts w:ascii="宋体" w:hAnsi="宋体"/>
          <w:color w:val="auto"/>
          <w:szCs w:val="21"/>
          <w:highlight w:val="none"/>
        </w:rPr>
      </w:pPr>
      <w:r>
        <w:rPr>
          <w:rFonts w:ascii="宋体" w:hAnsi="宋体"/>
          <w:color w:val="auto"/>
          <w:highlight w:val="none"/>
        </w:rPr>
        <w:t xml:space="preserve">因情况变化，不再符合规定的</w:t>
      </w:r>
      <w:r>
        <w:rPr>
          <w:rFonts w:hint="eastAsia" w:ascii="宋体" w:hAnsi="宋体"/>
          <w:color w:val="auto"/>
          <w:highlight w:val="none"/>
        </w:rPr>
        <w:t xml:space="preserve">竞争性磋商</w:t>
      </w:r>
      <w:r>
        <w:rPr>
          <w:rFonts w:ascii="宋体" w:hAnsi="宋体"/>
          <w:color w:val="auto"/>
          <w:highlight w:val="none"/>
        </w:rPr>
        <w:t xml:space="preserve">采购</w:t>
      </w:r>
      <w:r>
        <w:rPr>
          <w:rFonts w:hint="eastAsia" w:ascii="宋体" w:hAnsi="宋体"/>
          <w:color w:val="auto"/>
          <w:highlight w:val="none"/>
        </w:rPr>
        <w:t xml:space="preserve">方式</w:t>
      </w:r>
      <w:r>
        <w:rPr>
          <w:rFonts w:ascii="宋体" w:hAnsi="宋体"/>
          <w:color w:val="auto"/>
          <w:highlight w:val="none"/>
        </w:rPr>
        <w:t xml:space="preserve">适用情形的；</w:t>
      </w:r>
      <w:r/>
    </w:p>
    <w:p>
      <w:pPr>
        <w:numPr>
          <w:ilvl w:val="0"/>
          <w:numId w:val="26"/>
        </w:numPr>
        <w:ind w:left="1080" w:hanging="540"/>
        <w:spacing w:line="400" w:lineRule="exact"/>
        <w:tabs>
          <w:tab w:val="left" w:pos="1080" w:leader="none"/>
        </w:tabs>
        <w:rPr>
          <w:rFonts w:ascii="宋体" w:hAnsi="宋体"/>
          <w:bCs/>
          <w:color w:val="auto"/>
          <w:szCs w:val="21"/>
          <w:highlight w:val="none"/>
        </w:rPr>
      </w:pPr>
      <w:r>
        <w:rPr>
          <w:rFonts w:ascii="宋体" w:hAnsi="宋体"/>
          <w:color w:val="auto"/>
          <w:szCs w:val="21"/>
          <w:highlight w:val="none"/>
        </w:rPr>
        <w:t xml:space="preserve">出现影响采购公正的违法、违规行为的；</w:t>
      </w:r>
      <w:r/>
    </w:p>
    <w:p>
      <w:pPr>
        <w:numPr>
          <w:ilvl w:val="0"/>
          <w:numId w:val="26"/>
        </w:numPr>
        <w:ind w:left="1080" w:hanging="540"/>
        <w:spacing w:line="400" w:lineRule="exact"/>
        <w:tabs>
          <w:tab w:val="left" w:pos="1080" w:leader="none"/>
        </w:tabs>
        <w:rPr>
          <w:rFonts w:ascii="宋体" w:hAnsi="宋体"/>
          <w:bCs/>
          <w:color w:val="auto"/>
          <w:szCs w:val="21"/>
          <w:highlight w:val="none"/>
        </w:rPr>
      </w:pPr>
      <w:r>
        <w:rPr>
          <w:rFonts w:ascii="宋体" w:hAnsi="宋体"/>
          <w:color w:val="auto"/>
          <w:szCs w:val="21"/>
          <w:highlight w:val="none"/>
        </w:rPr>
        <w:t xml:space="preserve">在采购过程中符合竞争要求的供应商或者报价未超过采购预算的供应商不足</w:t>
      </w:r>
      <w:r>
        <w:rPr>
          <w:rFonts w:hint="eastAsia" w:ascii="宋体" w:hAnsi="宋体"/>
          <w:color w:val="auto"/>
          <w:szCs w:val="21"/>
          <w:highlight w:val="none"/>
        </w:rPr>
        <w:t xml:space="preserve">三</w:t>
      </w:r>
      <w:r>
        <w:rPr>
          <w:rFonts w:ascii="宋体" w:hAnsi="宋体"/>
          <w:color w:val="auto"/>
          <w:szCs w:val="21"/>
          <w:highlight w:val="none"/>
        </w:rPr>
        <w:t xml:space="preserve">家的。</w:t>
      </w:r>
      <w:r/>
    </w:p>
    <w:p>
      <w:pPr>
        <w:numPr>
          <w:ilvl w:val="0"/>
          <w:numId w:val="24"/>
        </w:numPr>
        <w:ind w:left="567" w:hanging="567"/>
        <w:spacing w:line="400" w:lineRule="exact"/>
        <w:tabs>
          <w:tab w:val="left" w:pos="567" w:leader="none"/>
        </w:tabs>
        <w:rPr>
          <w:rFonts w:ascii="宋体" w:hAnsi="宋体"/>
          <w:color w:val="auto"/>
          <w:szCs w:val="21"/>
          <w:highlight w:val="none"/>
        </w:rPr>
      </w:pPr>
      <w:r>
        <w:rPr>
          <w:rFonts w:hint="eastAsia" w:ascii="宋体" w:hAnsi="宋体"/>
          <w:color w:val="auto"/>
          <w:szCs w:val="21"/>
          <w:highlight w:val="none"/>
        </w:rPr>
        <w:t xml:space="preserve">成交通知书：</w:t>
      </w:r>
      <w:r/>
    </w:p>
    <w:p>
      <w:pPr>
        <w:numPr>
          <w:ilvl w:val="0"/>
          <w:numId w:val="27"/>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确定成交单位后在投标有效期截止前，采购代理机构将以书面形式通知成交的响应单位。</w:t>
      </w:r>
      <w:r/>
    </w:p>
    <w:p>
      <w:pPr>
        <w:numPr>
          <w:ilvl w:val="0"/>
          <w:numId w:val="27"/>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成交通知书将成为合同的组成部分。</w:t>
      </w:r>
      <w:r/>
    </w:p>
    <w:p>
      <w:pPr>
        <w:numPr>
          <w:ilvl w:val="0"/>
          <w:numId w:val="27"/>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采购人或采购代理机构对未成交单位不承担解释未成交原因的义务。</w:t>
      </w:r>
      <w:r/>
    </w:p>
    <w:p>
      <w:pPr>
        <w:numPr>
          <w:ilvl w:val="0"/>
          <w:numId w:val="27"/>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请成交单位在成交结果公告届满之日起30日内,使用CA证书登录“苏采云”系统及时下载成交通知书。因系统存储空间有限，自成交结果公告届满之日起30日后，“苏采云”系统不再保证提供下载中标通知书服务,因未及时下载而造成的不利后果由成交单位自行承担。</w:t>
      </w:r>
      <w:r/>
    </w:p>
    <w:p>
      <w:pPr>
        <w:numPr>
          <w:ilvl w:val="0"/>
          <w:numId w:val="24"/>
        </w:numPr>
        <w:ind w:left="567" w:hanging="567"/>
        <w:spacing w:line="400" w:lineRule="exact"/>
        <w:tabs>
          <w:tab w:val="left" w:pos="567" w:leader="none"/>
        </w:tabs>
        <w:rPr>
          <w:rFonts w:ascii="宋体" w:hAnsi="宋体"/>
          <w:color w:val="auto"/>
          <w:szCs w:val="21"/>
          <w:highlight w:val="none"/>
        </w:rPr>
      </w:pPr>
      <w:r>
        <w:rPr>
          <w:color w:val="auto"/>
          <w:highlight w:val="none"/>
        </w:rPr>
        <w:t xml:space="preserve">参与项目评审的未成交供应商可在成交公告</w:t>
      </w:r>
      <w:r>
        <w:rPr>
          <w:rFonts w:hint="eastAsia"/>
          <w:color w:val="auto"/>
          <w:highlight w:val="none"/>
        </w:rPr>
        <w:t xml:space="preserve">发布</w:t>
      </w:r>
      <w:r>
        <w:rPr>
          <w:color w:val="auto"/>
          <w:highlight w:val="none"/>
        </w:rPr>
        <w:t xml:space="preserve">之</w:t>
      </w:r>
      <w:r>
        <w:rPr>
          <w:rFonts w:ascii="宋体" w:hAnsi="宋体"/>
          <w:color w:val="auto"/>
          <w:highlight w:val="none"/>
        </w:rPr>
        <w:t xml:space="preserve">日起7个工</w:t>
      </w:r>
      <w:r>
        <w:rPr>
          <w:color w:val="auto"/>
          <w:highlight w:val="none"/>
        </w:rPr>
        <w:t xml:space="preserve">作日内电话咨询采购代理机构索取《未成交通知书》，采购代理机构应以电子邮件形式告知。未成交供应商未按约定的时间和方式获取告知信息的，视为自动放弃</w:t>
      </w:r>
      <w:r>
        <w:rPr>
          <w:rFonts w:hint="eastAsia"/>
          <w:color w:val="auto"/>
          <w:highlight w:val="none"/>
        </w:rPr>
        <w:t xml:space="preserve">。</w:t>
      </w:r>
      <w:r/>
    </w:p>
    <w:p>
      <w:pPr>
        <w:numPr>
          <w:ilvl w:val="0"/>
          <w:numId w:val="24"/>
        </w:numPr>
        <w:ind w:left="567" w:hanging="567"/>
        <w:spacing w:line="400" w:lineRule="exact"/>
        <w:tabs>
          <w:tab w:val="left" w:pos="567" w:leader="none"/>
        </w:tabs>
        <w:rPr>
          <w:rFonts w:ascii="宋体" w:hAnsi="宋体"/>
          <w:color w:val="auto"/>
          <w:szCs w:val="21"/>
          <w:highlight w:val="none"/>
        </w:rPr>
      </w:pPr>
      <w:r>
        <w:rPr>
          <w:rFonts w:ascii="宋体" w:hAnsi="宋体"/>
          <w:color w:val="auto"/>
          <w:szCs w:val="21"/>
          <w:highlight w:val="none"/>
        </w:rPr>
        <w:t xml:space="preserve">凡涉及</w:t>
      </w:r>
      <w:r>
        <w:rPr>
          <w:rFonts w:hint="eastAsia" w:ascii="宋体" w:hAnsi="宋体"/>
          <w:color w:val="auto"/>
          <w:szCs w:val="21"/>
          <w:highlight w:val="none"/>
        </w:rPr>
        <w:t xml:space="preserve">采购文件</w:t>
      </w:r>
      <w:r>
        <w:rPr>
          <w:rFonts w:ascii="宋体" w:hAnsi="宋体"/>
          <w:color w:val="auto"/>
          <w:szCs w:val="21"/>
          <w:highlight w:val="none"/>
        </w:rPr>
        <w:t xml:space="preserve">的补充说明和修改，均以</w:t>
      </w:r>
      <w:r>
        <w:rPr>
          <w:rFonts w:hint="eastAsia" w:ascii="宋体" w:hAnsi="宋体"/>
          <w:color w:val="auto"/>
          <w:szCs w:val="21"/>
          <w:highlight w:val="none"/>
        </w:rPr>
        <w:t xml:space="preserve">苏州市政府采购网上发布的</w:t>
      </w:r>
      <w:r>
        <w:rPr>
          <w:rFonts w:ascii="宋体" w:hAnsi="宋体"/>
          <w:color w:val="auto"/>
          <w:szCs w:val="21"/>
          <w:highlight w:val="none"/>
        </w:rPr>
        <w:t xml:space="preserve">通知为准</w:t>
      </w:r>
      <w:r>
        <w:rPr>
          <w:rFonts w:hint="eastAsia" w:ascii="宋体" w:hAnsi="宋体"/>
          <w:color w:val="auto"/>
          <w:szCs w:val="21"/>
          <w:highlight w:val="none"/>
        </w:rPr>
        <w:t xml:space="preserve">。</w:t>
      </w:r>
      <w:r/>
    </w:p>
    <w:p>
      <w:pPr>
        <w:numPr>
          <w:ilvl w:val="0"/>
          <w:numId w:val="5"/>
        </w:numPr>
        <w:ind w:left="525" w:hanging="525"/>
        <w:spacing w:line="400" w:lineRule="exact"/>
        <w:tabs>
          <w:tab w:val="clear" w:pos="420" w:leader="none"/>
          <w:tab w:val="left" w:pos="525" w:leader="none"/>
          <w:tab w:val="left" w:pos="567" w:leader="none"/>
        </w:tabs>
        <w:rPr>
          <w:rFonts w:ascii="宋体" w:hAnsi="宋体"/>
          <w:bCs/>
          <w:color w:val="auto"/>
          <w:szCs w:val="21"/>
          <w:highlight w:val="none"/>
        </w:rPr>
      </w:pPr>
      <w:r>
        <w:rPr>
          <w:rFonts w:hint="eastAsia" w:ascii="宋体" w:hAnsi="宋体"/>
          <w:bCs/>
          <w:color w:val="auto"/>
          <w:szCs w:val="21"/>
          <w:highlight w:val="none"/>
        </w:rPr>
        <w:t xml:space="preserve">政府采购相关政策</w:t>
      </w:r>
      <w:r/>
    </w:p>
    <w:p>
      <w:pPr>
        <w:numPr>
          <w:ilvl w:val="0"/>
          <w:numId w:val="2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关于对参与供应商信用记录的政府采购要求：</w:t>
      </w:r>
      <w:r/>
    </w:p>
    <w:p>
      <w:pPr>
        <w:numPr>
          <w:ilvl w:val="0"/>
          <w:numId w:val="29"/>
        </w:numPr>
        <w:spacing w:line="400" w:lineRule="exact"/>
        <w:rPr>
          <w:rFonts w:ascii="宋体" w:hAnsi="宋体"/>
          <w:color w:val="auto"/>
          <w:szCs w:val="21"/>
          <w:highlight w:val="none"/>
        </w:rPr>
      </w:pPr>
      <w:r>
        <w:rPr>
          <w:rFonts w:hint="eastAsia" w:ascii="宋体" w:hAnsi="宋体"/>
          <w:color w:val="auto"/>
          <w:szCs w:val="21"/>
          <w:highlight w:val="none"/>
        </w:rPr>
        <w:t xml:space="preserve">采购代理机构会在接收响应文件截止时间后，在信用中国</w:t>
      </w:r>
      <w:r>
        <w:rPr>
          <w:rFonts w:hint="eastAsia" w:ascii="宋体" w:hAnsi="宋体"/>
          <w:color w:val="auto"/>
          <w:szCs w:val="21"/>
          <w:highlight w:val="none"/>
          <w:lang w:val="en-US" w:eastAsia="zh-CN"/>
        </w:rPr>
        <w:t xml:space="preserve">等</w:t>
      </w:r>
      <w:r>
        <w:rPr>
          <w:rFonts w:hint="eastAsia" w:ascii="宋体" w:hAnsi="宋体"/>
          <w:color w:val="auto"/>
          <w:szCs w:val="21"/>
          <w:highlight w:val="none"/>
        </w:rPr>
        <w:t xml:space="preserve">网站输入供应商全称或统一社会信用代码查询信用记录，并将查询结果递交评审小组。</w:t>
      </w:r>
      <w:r/>
    </w:p>
    <w:p>
      <w:pPr>
        <w:numPr>
          <w:ilvl w:val="0"/>
          <w:numId w:val="29"/>
        </w:numPr>
        <w:spacing w:line="400" w:lineRule="exact"/>
        <w:rPr>
          <w:rFonts w:ascii="宋体" w:hAnsi="宋体"/>
          <w:color w:val="auto"/>
          <w:szCs w:val="21"/>
          <w:highlight w:val="none"/>
        </w:rPr>
      </w:pPr>
      <w:r>
        <w:rPr>
          <w:rFonts w:hint="eastAsia" w:ascii="宋体" w:hAnsi="宋体"/>
          <w:color w:val="auto"/>
          <w:szCs w:val="21"/>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B、财政部门与法院、工商、税务等部门联合惩戒的失信信息，包括：</w:t>
      </w:r>
      <w:r/>
    </w:p>
    <w:p>
      <w:pPr>
        <w:ind w:left="567"/>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1) 被列入失信被执行人名单；</w:t>
      </w:r>
      <w:r/>
    </w:p>
    <w:p>
      <w:pPr>
        <w:ind w:left="567"/>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2) 被列入重大税收违法案件当事人名单；</w:t>
      </w:r>
      <w:r/>
    </w:p>
    <w:p>
      <w:pPr>
        <w:ind w:left="567"/>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29"/>
        </w:numPr>
        <w:spacing w:line="400" w:lineRule="exact"/>
        <w:rPr>
          <w:rFonts w:ascii="宋体" w:hAnsi="宋体"/>
          <w:color w:val="auto"/>
          <w:szCs w:val="21"/>
          <w:highlight w:val="none"/>
        </w:rPr>
      </w:pPr>
      <w:r>
        <w:rPr>
          <w:rFonts w:hint="eastAsia" w:ascii="宋体" w:hAnsi="宋体"/>
          <w:color w:val="auto"/>
          <w:szCs w:val="21"/>
          <w:highlight w:val="none"/>
        </w:rPr>
        <w:t xml:space="preserve">对存在失信信息的供应商，采购代理机构工作人员应根据评审小组确认的失信信息，登陆到相关来源网站页面进行复核并打印，作为证据留存。</w:t>
      </w:r>
      <w:r/>
    </w:p>
    <w:p>
      <w:pPr>
        <w:numPr>
          <w:ilvl w:val="0"/>
          <w:numId w:val="28"/>
        </w:numPr>
        <w:spacing w:line="400" w:lineRule="exact"/>
        <w:tabs>
          <w:tab w:val="left" w:pos="525" w:leader="none"/>
        </w:tabs>
        <w:rPr>
          <w:rFonts w:ascii="宋体" w:hAnsi="宋体"/>
          <w:color w:val="auto"/>
          <w:szCs w:val="21"/>
          <w:highlight w:val="none"/>
        </w:rPr>
      </w:pPr>
      <w:r>
        <w:rPr>
          <w:rFonts w:hint="eastAsia" w:ascii="宋体" w:hAnsi="宋体"/>
          <w:color w:val="auto"/>
          <w:szCs w:val="21"/>
          <w:highlight w:val="none"/>
        </w:rPr>
        <w:t xml:space="preserve">针对中小企业、监狱企业、残疾人企业的评审：</w:t>
      </w:r>
      <w:r/>
    </w:p>
    <w:p>
      <w:pPr>
        <w:ind w:left="540"/>
        <w:spacing w:line="400" w:lineRule="exact"/>
        <w:tabs>
          <w:tab w:val="left" w:pos="540" w:leader="none"/>
        </w:tabs>
        <w:rPr>
          <w:rFonts w:ascii="宋体" w:hAnsi="宋体"/>
          <w:color w:val="auto"/>
          <w:highlight w:val="none"/>
        </w:rPr>
      </w:pPr>
      <w:r>
        <w:rPr>
          <w:rFonts w:hint="eastAsia" w:ascii="宋体" w:hAnsi="宋体"/>
          <w:color w:val="auto"/>
          <w:szCs w:val="21"/>
          <w:highlight w:val="none"/>
        </w:rPr>
        <w:t xml:space="preserve">根据</w:t>
      </w:r>
      <w:r>
        <w:rPr>
          <w:rFonts w:hint="eastAsia" w:ascii="宋体" w:hAnsi="宋体"/>
          <w:color w:val="auto"/>
          <w:highlight w:val="none"/>
        </w:rPr>
        <w:t xml:space="preserve">《政府采购促进中小企业发展管理办法》（财库〔2020〕46号）、《关于促进残疾人就业政府采购政策的通知》（财库〔2017〕141号）、《关于政府采</w:t>
      </w:r>
      <w:r>
        <w:rPr>
          <w:rFonts w:hint="eastAsia" w:ascii="宋体" w:hAnsi="宋体"/>
          <w:color w:val="auto"/>
          <w:highlight w:val="none"/>
        </w:rPr>
        <w:t xml:space="preserve">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left="540"/>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注：</w:t>
      </w:r>
      <w:r/>
    </w:p>
    <w:p>
      <w:pPr>
        <w:ind w:left="540"/>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①填报“中小企业声明函”需严格按“工信部联企业〔2011〕300号通知中的《中小企业划型标准规定》进行。</w:t>
      </w:r>
      <w:r/>
    </w:p>
    <w:p>
      <w:pPr>
        <w:ind w:left="540"/>
        <w:spacing w:line="400" w:lineRule="exact"/>
        <w:tabs>
          <w:tab w:val="left" w:pos="540" w:leader="none"/>
        </w:tabs>
        <w:rPr>
          <w:rFonts w:ascii="宋体" w:hAnsi="宋体"/>
          <w:color w:val="auto"/>
          <w:szCs w:val="21"/>
          <w:highlight w:val="none"/>
        </w:rPr>
      </w:pPr>
      <w:r>
        <w:rPr>
          <w:rFonts w:hint="eastAsia" w:ascii="宋体" w:hAnsi="宋体"/>
          <w:color w:val="auto"/>
          <w:highlight w:val="none"/>
        </w:rPr>
        <w:t xml:space="preserve">②若供应商提供的声明函或认定证明为虚假材料，按“政府采购法”相关规定处理并报请政府监管部门给予行政处罚。</w:t>
      </w:r>
      <w:r/>
    </w:p>
    <w:p>
      <w:pPr>
        <w:numPr>
          <w:ilvl w:val="0"/>
          <w:numId w:val="28"/>
        </w:numPr>
        <w:spacing w:line="400" w:lineRule="exact"/>
        <w:tabs>
          <w:tab w:val="left" w:pos="525" w:leader="none"/>
        </w:tabs>
        <w:rPr>
          <w:rFonts w:ascii="宋体" w:hAnsi="宋体"/>
          <w:color w:val="auto"/>
          <w:szCs w:val="21"/>
          <w:highlight w:val="none"/>
        </w:rPr>
      </w:pPr>
      <w:r>
        <w:rPr>
          <w:rFonts w:hint="eastAsia" w:ascii="宋体" w:hAnsi="宋体"/>
          <w:color w:val="auto"/>
          <w:szCs w:val="21"/>
          <w:highlight w:val="none"/>
        </w:rPr>
        <w:t xml:space="preserve">质疑事项</w:t>
      </w:r>
      <w:r/>
    </w:p>
    <w:p>
      <w:pPr>
        <w:numPr>
          <w:ilvl w:val="0"/>
          <w:numId w:val="30"/>
        </w:numPr>
        <w:spacing w:line="400" w:lineRule="exact"/>
        <w:rPr>
          <w:rFonts w:ascii="宋体" w:hAnsi="宋体"/>
          <w:bCs/>
          <w:color w:val="auto"/>
          <w:szCs w:val="21"/>
          <w:highlight w:val="none"/>
        </w:rPr>
      </w:pPr>
      <w:r>
        <w:rPr>
          <w:rFonts w:hint="eastAsia" w:ascii="宋体" w:hAnsi="宋体"/>
          <w:bCs/>
          <w:color w:val="auto"/>
          <w:szCs w:val="21"/>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ind w:left="540"/>
        <w:spacing w:line="400" w:lineRule="exact"/>
        <w:tabs>
          <w:tab w:val="left" w:pos="540" w:leader="none"/>
        </w:tabs>
        <w:rPr>
          <w:rFonts w:ascii="宋体" w:hAnsi="宋体"/>
          <w:color w:val="auto"/>
          <w:highlight w:val="none"/>
        </w:rPr>
      </w:pPr>
      <w:r>
        <w:rPr>
          <w:rFonts w:hint="eastAsia" w:ascii="宋体" w:hAnsi="宋体"/>
          <w:bCs/>
          <w:color w:val="auto"/>
          <w:szCs w:val="21"/>
          <w:highlight w:val="none"/>
        </w:rPr>
        <w:t xml:space="preserve">①对</w:t>
      </w:r>
      <w:r>
        <w:rPr>
          <w:rFonts w:hint="eastAsia" w:ascii="宋体" w:hAnsi="宋体"/>
          <w:color w:val="auto"/>
          <w:highlight w:val="none"/>
        </w:rPr>
        <w:t xml:space="preserve">可以质疑的采购文件提出质疑的，为收到采购文件之日或者采购文件公告期限届满之日；</w:t>
      </w:r>
      <w:r/>
    </w:p>
    <w:p>
      <w:pPr>
        <w:ind w:left="540"/>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②对采购过程提出质疑的，为各采购程序环节结束之日；</w:t>
      </w:r>
      <w:r/>
    </w:p>
    <w:p>
      <w:pPr>
        <w:ind w:left="540"/>
        <w:spacing w:line="400" w:lineRule="exact"/>
        <w:tabs>
          <w:tab w:val="left" w:pos="540" w:leader="none"/>
        </w:tabs>
        <w:rPr>
          <w:rFonts w:ascii="宋体" w:hAnsi="宋体"/>
          <w:bCs/>
          <w:color w:val="auto"/>
          <w:szCs w:val="21"/>
          <w:highlight w:val="none"/>
        </w:rPr>
      </w:pPr>
      <w:r>
        <w:rPr>
          <w:rFonts w:hint="eastAsia" w:ascii="宋体" w:hAnsi="宋体"/>
          <w:color w:val="auto"/>
          <w:highlight w:val="none"/>
        </w:rPr>
        <w:t xml:space="preserve">③对中标或</w:t>
      </w:r>
      <w:r>
        <w:rPr>
          <w:rFonts w:hint="eastAsia" w:ascii="宋体" w:hAnsi="宋体"/>
          <w:bCs/>
          <w:color w:val="auto"/>
          <w:szCs w:val="21"/>
          <w:highlight w:val="none"/>
        </w:rPr>
        <w:t xml:space="preserve">者成交结果提出质疑的，为中标或者成交结果公告期限届满之日。 </w:t>
      </w:r>
      <w:r/>
    </w:p>
    <w:p>
      <w:pPr>
        <w:numPr>
          <w:ilvl w:val="0"/>
          <w:numId w:val="30"/>
        </w:numPr>
        <w:spacing w:line="400" w:lineRule="exact"/>
        <w:rPr>
          <w:rFonts w:ascii="宋体" w:hAnsi="宋体"/>
          <w:bCs/>
          <w:color w:val="auto"/>
          <w:szCs w:val="21"/>
          <w:highlight w:val="none"/>
        </w:rPr>
      </w:pPr>
      <w:r>
        <w:rPr>
          <w:rFonts w:hint="eastAsia" w:ascii="宋体" w:hAnsi="宋体"/>
          <w:bCs/>
          <w:color w:val="auto"/>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30"/>
        </w:numPr>
        <w:spacing w:line="400" w:lineRule="exact"/>
        <w:rPr>
          <w:rFonts w:ascii="宋体" w:hAnsi="宋体"/>
          <w:bCs/>
          <w:color w:val="auto"/>
          <w:szCs w:val="21"/>
          <w:highlight w:val="none"/>
        </w:rPr>
      </w:pPr>
      <w:r>
        <w:rPr>
          <w:rFonts w:hint="eastAsia" w:ascii="宋体" w:hAnsi="宋体"/>
          <w:bCs/>
          <w:color w:val="auto"/>
          <w:szCs w:val="21"/>
          <w:highlight w:val="none"/>
        </w:rPr>
        <w:t xml:space="preserve">供应商应当在法定质疑期内一次性提出针对同一采购程序环节的质疑。供应商如在法定期限内对同一采购程序环节提出多次质疑的，代理将只对供应商第一次质疑作出答复。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highlight w:val="none"/>
        </w:rPr>
        <w:t xml:space="preserve">迟于相关规定时间提交的</w:t>
      </w:r>
      <w:r>
        <w:rPr>
          <w:rFonts w:hint="eastAsia" w:ascii="宋体" w:hAnsi="宋体"/>
          <w:bCs/>
          <w:color w:val="auto"/>
          <w:szCs w:val="21"/>
          <w:highlight w:val="none"/>
        </w:rPr>
        <w:t xml:space="preserve">质疑</w:t>
      </w:r>
      <w:r>
        <w:rPr>
          <w:rFonts w:ascii="宋体" w:hAnsi="宋体"/>
          <w:bCs/>
          <w:color w:val="auto"/>
          <w:szCs w:val="21"/>
          <w:highlight w:val="none"/>
        </w:rPr>
        <w:t xml:space="preserve">，</w:t>
      </w:r>
      <w:r>
        <w:rPr>
          <w:rFonts w:hint="eastAsia" w:ascii="宋体" w:hAnsi="宋体"/>
          <w:bCs/>
          <w:color w:val="auto"/>
          <w:szCs w:val="21"/>
          <w:highlight w:val="none"/>
        </w:rPr>
        <w:t xml:space="preserve">采购方或</w:t>
      </w:r>
      <w:r>
        <w:rPr>
          <w:rFonts w:ascii="宋体" w:hAnsi="宋体"/>
          <w:bCs/>
          <w:color w:val="auto"/>
          <w:szCs w:val="21"/>
          <w:highlight w:val="none"/>
        </w:rPr>
        <w:t xml:space="preserve">采购代理机构</w:t>
      </w:r>
      <w:r>
        <w:rPr>
          <w:rFonts w:hint="eastAsia" w:ascii="宋体" w:hAnsi="宋体"/>
          <w:bCs/>
          <w:color w:val="auto"/>
          <w:szCs w:val="21"/>
          <w:highlight w:val="none"/>
        </w:rPr>
        <w:t xml:space="preserve">将按照相关法律法规的规定</w:t>
      </w:r>
      <w:r>
        <w:rPr>
          <w:rFonts w:ascii="宋体" w:hAnsi="宋体"/>
          <w:bCs/>
          <w:color w:val="auto"/>
          <w:szCs w:val="21"/>
          <w:highlight w:val="none"/>
        </w:rPr>
        <w:t xml:space="preserve">拒绝回答</w:t>
      </w:r>
      <w:r>
        <w:rPr>
          <w:rFonts w:hint="eastAsia" w:ascii="宋体" w:hAnsi="宋体"/>
          <w:bCs/>
          <w:color w:val="auto"/>
          <w:szCs w:val="21"/>
          <w:highlight w:val="none"/>
        </w:rPr>
        <w:t xml:space="preserve">。</w:t>
      </w:r>
      <w:r/>
    </w:p>
    <w:p>
      <w:pPr>
        <w:ind w:left="540"/>
        <w:spacing w:line="400" w:lineRule="exact"/>
        <w:tabs>
          <w:tab w:val="left" w:pos="540" w:leader="none"/>
        </w:tabs>
        <w:rPr>
          <w:rFonts w:ascii="宋体" w:hAnsi="宋体"/>
          <w:color w:val="auto"/>
          <w:highlight w:val="none"/>
        </w:rPr>
      </w:pPr>
      <w:r>
        <w:rPr>
          <w:rFonts w:hint="eastAsia" w:ascii="宋体" w:hAnsi="宋体"/>
          <w:bCs/>
          <w:color w:val="auto"/>
          <w:szCs w:val="21"/>
          <w:highlight w:val="none"/>
        </w:rPr>
        <w:t xml:space="preserve">质疑</w:t>
      </w:r>
      <w:r>
        <w:rPr>
          <w:rFonts w:hint="eastAsia" w:ascii="宋体" w:hAnsi="宋体"/>
          <w:color w:val="auto"/>
          <w:highlight w:val="none"/>
        </w:rPr>
        <w:t xml:space="preserve">联系部门：业务部-金健</w:t>
      </w:r>
      <w:r/>
    </w:p>
    <w:p>
      <w:pPr>
        <w:ind w:left="540"/>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联系电话：0512-68364647/68361806</w:t>
      </w:r>
      <w:r/>
    </w:p>
    <w:p>
      <w:pPr>
        <w:ind w:left="540"/>
        <w:spacing w:line="400" w:lineRule="exact"/>
        <w:tabs>
          <w:tab w:val="left" w:pos="540" w:leader="none"/>
        </w:tabs>
        <w:rPr>
          <w:rFonts w:hint="eastAsia" w:ascii="宋体" w:hAnsi="宋体" w:eastAsia="宋体"/>
          <w:bCs/>
          <w:color w:val="auto"/>
          <w:szCs w:val="21"/>
          <w:highlight w:val="none"/>
          <w:lang w:eastAsia="zh-CN"/>
        </w:rPr>
      </w:pPr>
      <w:r>
        <w:rPr>
          <w:rFonts w:hint="eastAsia" w:ascii="宋体" w:hAnsi="宋体"/>
          <w:color w:val="auto"/>
          <w:highlight w:val="none"/>
        </w:rPr>
        <w:t xml:space="preserve">通讯地址：</w:t>
      </w:r>
      <w:r>
        <w:rPr>
          <w:rFonts w:hint="eastAsia" w:ascii="宋体" w:hAnsi="宋体"/>
          <w:bCs/>
          <w:color w:val="auto"/>
          <w:szCs w:val="21"/>
          <w:highlight w:val="none"/>
          <w:lang w:eastAsia="zh-CN"/>
        </w:rPr>
        <w:t xml:space="preserve">苏州工业园区苏州大道西313号嘉实大厦东楼5楼</w:t>
      </w:r>
      <w:r/>
    </w:p>
    <w:p>
      <w:pPr>
        <w:numPr>
          <w:ilvl w:val="0"/>
          <w:numId w:val="30"/>
        </w:numPr>
        <w:spacing w:line="400" w:lineRule="exact"/>
        <w:rPr>
          <w:rFonts w:ascii="宋体" w:hAnsi="宋体"/>
          <w:bCs/>
          <w:color w:val="auto"/>
          <w:szCs w:val="21"/>
          <w:highlight w:val="none"/>
        </w:rPr>
      </w:pPr>
      <w:r>
        <w:rPr>
          <w:rFonts w:hint="eastAsia" w:ascii="宋体" w:hAnsi="宋体"/>
          <w:bCs/>
          <w:color w:val="auto"/>
          <w:szCs w:val="21"/>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30"/>
        </w:numPr>
        <w:spacing w:line="400" w:lineRule="exact"/>
        <w:rPr>
          <w:rFonts w:ascii="宋体" w:hAnsi="宋体"/>
          <w:bCs/>
          <w:color w:val="auto"/>
          <w:szCs w:val="21"/>
          <w:highlight w:val="none"/>
        </w:rPr>
      </w:pPr>
      <w:r>
        <w:rPr>
          <w:rFonts w:hint="eastAsia" w:ascii="宋体" w:hAnsi="宋体"/>
          <w:bCs/>
          <w:color w:val="auto"/>
          <w:szCs w:val="21"/>
          <w:highlight w:val="none"/>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30"/>
        </w:numPr>
        <w:spacing w:line="400" w:lineRule="exact"/>
        <w:rPr>
          <w:rFonts w:ascii="宋体" w:hAnsi="宋体"/>
          <w:bCs/>
          <w:color w:val="auto"/>
          <w:szCs w:val="21"/>
          <w:highlight w:val="none"/>
        </w:rPr>
      </w:pPr>
      <w:r>
        <w:rPr>
          <w:rFonts w:hint="eastAsia" w:ascii="宋体" w:hAnsi="宋体"/>
          <w:bCs/>
          <w:color w:val="auto"/>
          <w:szCs w:val="21"/>
          <w:highlight w:val="none"/>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5"/>
        </w:numPr>
        <w:ind w:left="525" w:hanging="525"/>
        <w:spacing w:line="400" w:lineRule="exact"/>
        <w:tabs>
          <w:tab w:val="clear" w:pos="420" w:leader="none"/>
          <w:tab w:val="left" w:pos="525" w:leader="none"/>
          <w:tab w:val="left" w:pos="567" w:leader="none"/>
        </w:tabs>
        <w:rPr>
          <w:rFonts w:ascii="宋体" w:hAnsi="宋体"/>
          <w:bCs/>
          <w:color w:val="auto"/>
          <w:szCs w:val="21"/>
          <w:highlight w:val="none"/>
        </w:rPr>
      </w:pPr>
      <w:r>
        <w:rPr>
          <w:rFonts w:hint="eastAsia" w:ascii="宋体" w:hAnsi="宋体"/>
          <w:bCs/>
          <w:color w:val="auto"/>
          <w:szCs w:val="21"/>
          <w:highlight w:val="none"/>
        </w:rPr>
        <w:t xml:space="preserve">磋商程序：</w:t>
      </w:r>
      <w:r/>
    </w:p>
    <w:p>
      <w:pPr>
        <w:numPr>
          <w:ilvl w:val="0"/>
          <w:numId w:val="31"/>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采购代理机构按本采购文件规定的时间、地点主持磋商采购活动。</w:t>
      </w:r>
      <w:r/>
    </w:p>
    <w:p>
      <w:pPr>
        <w:numPr>
          <w:ilvl w:val="0"/>
          <w:numId w:val="31"/>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31"/>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在磋商响应文件网上递交截止时间止成功解密的磋商供应商少于三家，则本次采购失败。</w:t>
      </w:r>
      <w:r/>
    </w:p>
    <w:p>
      <w:pPr>
        <w:numPr>
          <w:ilvl w:val="0"/>
          <w:numId w:val="31"/>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由磋商小组审查供应商解密的响应文件。</w:t>
      </w:r>
      <w:r/>
    </w:p>
    <w:p>
      <w:pPr>
        <w:numPr>
          <w:ilvl w:val="0"/>
          <w:numId w:val="31"/>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31"/>
        </w:numPr>
        <w:spacing w:line="400" w:lineRule="exact"/>
        <w:tabs>
          <w:tab w:val="left" w:pos="540" w:leader="none"/>
        </w:tabs>
        <w:rPr>
          <w:rFonts w:ascii="宋体" w:hAnsi="宋体"/>
          <w:color w:val="auto"/>
          <w:szCs w:val="21"/>
          <w:highlight w:val="none"/>
        </w:rPr>
      </w:pPr>
      <w:r>
        <w:rPr>
          <w:rFonts w:hint="eastAsia" w:ascii="宋体" w:hAnsi="宋体"/>
          <w:color w:val="auto"/>
          <w:highlight w:val="none"/>
        </w:rPr>
        <w:t xml:space="preserve">磋商小组要求供应商澄清、</w:t>
      </w:r>
      <w:r>
        <w:rPr>
          <w:rFonts w:hint="eastAsia" w:ascii="宋体" w:hAnsi="宋体"/>
          <w:color w:val="auto"/>
          <w:szCs w:val="21"/>
          <w:highlight w:val="none"/>
        </w:rPr>
        <w:t xml:space="preserve">说明或者更正响应文件应当以书面形式做出。供应商的澄清、说明或者更正应当由其单位加盖电子公章。</w:t>
      </w:r>
      <w:r/>
    </w:p>
    <w:p>
      <w:pPr>
        <w:numPr>
          <w:ilvl w:val="1"/>
          <w:numId w:val="31"/>
        </w:numPr>
        <w:spacing w:line="400" w:lineRule="exact"/>
        <w:tabs>
          <w:tab w:val="left" w:pos="54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供应商</w:t>
      </w:r>
      <w:r>
        <w:rPr>
          <w:rFonts w:hint="eastAsia" w:ascii="宋体" w:hAnsi="宋体"/>
          <w:color w:val="auto"/>
          <w:szCs w:val="21"/>
          <w:highlight w:val="none"/>
        </w:rPr>
        <w:t xml:space="preserve">的澄清、说明或者补正采用线上澄清：磋商小组将通过“苏采云”系统向供应商发布“澄清要求</w:t>
      </w:r>
      <w:r>
        <w:rPr>
          <w:rFonts w:hint="eastAsia" w:ascii="宋体" w:hAnsi="宋体"/>
          <w:color w:val="auto"/>
          <w:highlight w:val="none"/>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color w:val="auto"/>
          <w:szCs w:val="21"/>
          <w:highlight w:val="none"/>
        </w:rPr>
        <w:t xml:space="preserve">商应随时保持系统在线，如因供应商自身原因未在规定时间内提交澄清确认资料的，导致的不利后果由供应商自行承担）。</w:t>
      </w:r>
      <w:r/>
    </w:p>
    <w:p>
      <w:pPr>
        <w:numPr>
          <w:ilvl w:val="0"/>
          <w:numId w:val="31"/>
        </w:numPr>
        <w:spacing w:line="400" w:lineRule="exact"/>
        <w:tabs>
          <w:tab w:val="left" w:pos="540" w:leader="none"/>
        </w:tabs>
        <w:rPr>
          <w:rFonts w:ascii="宋体" w:hAnsi="宋体"/>
          <w:color w:val="auto"/>
          <w:highlight w:val="none"/>
        </w:rPr>
      </w:pPr>
      <w:r>
        <w:rPr>
          <w:rFonts w:hint="eastAsia" w:ascii="宋体" w:hAnsi="宋体"/>
          <w:color w:val="auto"/>
          <w:szCs w:val="21"/>
          <w:highlight w:val="none"/>
        </w:rPr>
        <w:t xml:space="preserve">对</w:t>
      </w:r>
      <w:r>
        <w:rPr>
          <w:rFonts w:hint="eastAsia" w:ascii="宋体" w:hAnsi="宋体"/>
          <w:color w:val="auto"/>
          <w:highlight w:val="none"/>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31"/>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31"/>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31"/>
        </w:numPr>
        <w:spacing w:line="400" w:lineRule="exact"/>
        <w:tabs>
          <w:tab w:val="left" w:pos="540" w:leader="none"/>
        </w:tabs>
        <w:rPr>
          <w:rFonts w:ascii="宋体" w:hAnsi="宋体"/>
          <w:color w:val="auto"/>
          <w:szCs w:val="21"/>
          <w:highlight w:val="none"/>
        </w:rPr>
      </w:pPr>
      <w:r>
        <w:rPr>
          <w:rFonts w:hint="eastAsia" w:ascii="宋体" w:hAnsi="宋体"/>
          <w:color w:val="auto"/>
          <w:highlight w:val="none"/>
        </w:rPr>
        <w:t xml:space="preserve">供应商未在磋商小组规定的时间内在“苏采云”系统中提交最后报价的视为放弃磋商，其响应文件按无效响应处理，最后报</w:t>
      </w:r>
      <w:r>
        <w:rPr>
          <w:rFonts w:hint="eastAsia" w:ascii="宋体" w:hAnsi="宋体"/>
          <w:color w:val="auto"/>
          <w:szCs w:val="21"/>
          <w:highlight w:val="none"/>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1"/>
          <w:numId w:val="31"/>
        </w:numPr>
        <w:spacing w:line="400" w:lineRule="exact"/>
        <w:tabs>
          <w:tab w:val="left" w:pos="54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已提交响应文件的供应商，在提交最后报价之前，可以根据磋商情况退出磋商，并在“苏采云”系统中提交“退出磋商函”并加盖CA电子公章。</w:t>
      </w:r>
      <w:r/>
    </w:p>
    <w:p>
      <w:pPr>
        <w:numPr>
          <w:ilvl w:val="1"/>
          <w:numId w:val="31"/>
        </w:numPr>
        <w:spacing w:line="400" w:lineRule="exact"/>
        <w:tabs>
          <w:tab w:val="left" w:pos="54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进入项目评审流程后，建议各供应商法定代表人或授权委托人始终保持通讯顺畅，及时登录苏采云系统查阅、答复相关信息。 </w:t>
      </w:r>
      <w:r/>
    </w:p>
    <w:p>
      <w:pPr>
        <w:numPr>
          <w:ilvl w:val="0"/>
          <w:numId w:val="31"/>
        </w:numPr>
        <w:spacing w:line="400" w:lineRule="exact"/>
        <w:tabs>
          <w:tab w:val="left" w:pos="540" w:leader="none"/>
        </w:tabs>
        <w:rPr>
          <w:rFonts w:ascii="宋体" w:hAnsi="宋体"/>
          <w:color w:val="auto"/>
          <w:highlight w:val="none"/>
        </w:rPr>
      </w:pPr>
      <w:r>
        <w:rPr>
          <w:rFonts w:hint="eastAsia" w:ascii="宋体" w:hAnsi="宋体"/>
          <w:color w:val="auto"/>
          <w:szCs w:val="21"/>
          <w:highlight w:val="none"/>
        </w:rPr>
        <w:t xml:space="preserve">经</w:t>
      </w:r>
      <w:r>
        <w:rPr>
          <w:rFonts w:hint="eastAsia" w:ascii="宋体" w:hAnsi="宋体"/>
          <w:color w:val="auto"/>
          <w:highlight w:val="none"/>
        </w:rPr>
        <w:t xml:space="preserve">磋商确定最终采购需求和提交最后报价的供应商后，由磋商小组采用综合评分法对提交最后报价的供应商的响应文件和最后报价进行综合评分。 </w:t>
      </w:r>
      <w:r/>
    </w:p>
    <w:p>
      <w:pPr>
        <w:numPr>
          <w:ilvl w:val="0"/>
          <w:numId w:val="31"/>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磋商小组根据磋商成交原则确定成交供应商，并将结果通知所有参加磋商的供应商。</w:t>
      </w:r>
      <w:r/>
    </w:p>
    <w:p>
      <w:pPr>
        <w:numPr>
          <w:ilvl w:val="0"/>
          <w:numId w:val="31"/>
        </w:numPr>
        <w:spacing w:line="400" w:lineRule="exact"/>
        <w:tabs>
          <w:tab w:val="left" w:pos="540" w:leader="none"/>
        </w:tabs>
        <w:rPr>
          <w:rFonts w:ascii="宋体" w:hAnsi="宋体" w:cs="宋体"/>
          <w:color w:val="auto"/>
          <w:szCs w:val="21"/>
          <w:highlight w:val="none"/>
        </w:rPr>
      </w:pPr>
      <w:r>
        <w:rPr>
          <w:rFonts w:hint="eastAsia" w:ascii="宋体" w:hAnsi="宋体"/>
          <w:color w:val="auto"/>
          <w:highlight w:val="none"/>
        </w:rPr>
        <w:t xml:space="preserve">如磋商</w:t>
      </w:r>
      <w:r>
        <w:rPr>
          <w:rFonts w:hint="eastAsia" w:ascii="宋体" w:hAnsi="宋体"/>
          <w:color w:val="auto"/>
          <w:szCs w:val="21"/>
          <w:highlight w:val="none"/>
        </w:rPr>
        <w:t xml:space="preserve">过程中出现本采购文件未尽事宜，由磋商小组根据政府采购有关法律、法规讨论决定。</w:t>
      </w:r>
      <w:r/>
    </w:p>
    <w:p>
      <w:pPr>
        <w:rPr>
          <w:rFonts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三、磋商成交原则及评分标准</w:t>
      </w:r>
      <w:r/>
    </w:p>
    <w:p>
      <w:pPr>
        <w:numPr>
          <w:ilvl w:val="0"/>
          <w:numId w:val="32"/>
        </w:numPr>
        <w:ind w:left="525" w:hanging="525"/>
        <w:spacing w:line="400" w:lineRule="exact"/>
        <w:tabs>
          <w:tab w:val="clear" w:pos="420" w:leader="none"/>
          <w:tab w:val="left" w:pos="525" w:leader="none"/>
        </w:tabs>
        <w:rPr>
          <w:rFonts w:ascii="宋体" w:hAnsi="宋体"/>
          <w:b/>
          <w:bCs w:val="0"/>
          <w:color w:val="auto"/>
          <w:highlight w:val="none"/>
        </w:rPr>
      </w:pPr>
      <w:r>
        <w:rPr>
          <w:rFonts w:hint="eastAsia" w:ascii="宋体" w:hAnsi="宋体"/>
          <w:b/>
          <w:bCs w:val="0"/>
          <w:color w:val="auto"/>
          <w:highlight w:val="none"/>
        </w:rPr>
        <w:t xml:space="preserve">成交原则</w:t>
      </w:r>
      <w:r/>
    </w:p>
    <w:p>
      <w:pPr>
        <w:numPr>
          <w:ilvl w:val="0"/>
          <w:numId w:val="33"/>
        </w:numPr>
        <w:spacing w:line="400" w:lineRule="exact"/>
        <w:tabs>
          <w:tab w:val="left" w:pos="840" w:leader="none"/>
          <w:tab w:val="left" w:pos="2870" w:leader="none"/>
        </w:tabs>
        <w:rPr>
          <w:rFonts w:ascii="宋体" w:hAnsi="宋体"/>
          <w:color w:val="auto"/>
          <w:szCs w:val="21"/>
          <w:highlight w:val="none"/>
        </w:rPr>
      </w:pPr>
      <w:r>
        <w:rPr>
          <w:rFonts w:ascii="宋体" w:hAnsi="宋体"/>
          <w:color w:val="auto"/>
          <w:szCs w:val="21"/>
          <w:highlight w:val="none"/>
        </w:rPr>
        <w:t xml:space="preserve">本次</w:t>
      </w:r>
      <w:r>
        <w:rPr>
          <w:rFonts w:hint="eastAsia" w:ascii="宋体" w:hAnsi="宋体"/>
          <w:color w:val="auto"/>
          <w:szCs w:val="21"/>
          <w:highlight w:val="none"/>
        </w:rPr>
        <w:t xml:space="preserve">采购采用综合评分法，即在</w:t>
      </w:r>
      <w:r>
        <w:rPr>
          <w:rFonts w:ascii="宋体" w:hAnsi="宋体"/>
          <w:color w:val="auto"/>
          <w:szCs w:val="21"/>
          <w:highlight w:val="none"/>
        </w:rPr>
        <w:t xml:space="preserve">响应文件满足磋商文件全部实质性要求且按评审因素的量化指标</w:t>
      </w:r>
      <w:r>
        <w:rPr>
          <w:rFonts w:hint="eastAsia" w:ascii="宋体" w:hAnsi="宋体"/>
          <w:color w:val="auto"/>
          <w:szCs w:val="21"/>
          <w:highlight w:val="none"/>
          <w:lang w:val="en-US" w:eastAsia="zh-CN"/>
        </w:rPr>
        <w:t xml:space="preserve">进行综合</w:t>
      </w:r>
      <w:r>
        <w:rPr>
          <w:rFonts w:ascii="宋体" w:hAnsi="宋体"/>
          <w:color w:val="auto"/>
          <w:szCs w:val="21"/>
          <w:highlight w:val="none"/>
        </w:rPr>
        <w:t xml:space="preserve">评审</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各标段</w:t>
      </w:r>
      <w:r>
        <w:rPr>
          <w:rFonts w:hint="eastAsia" w:ascii="宋体" w:hAnsi="宋体"/>
          <w:color w:val="auto"/>
          <w:szCs w:val="21"/>
          <w:highlight w:val="none"/>
        </w:rPr>
        <w:t xml:space="preserve">综合</w:t>
      </w:r>
      <w:r>
        <w:rPr>
          <w:rFonts w:ascii="宋体" w:hAnsi="宋体"/>
          <w:color w:val="auto"/>
          <w:szCs w:val="21"/>
          <w:highlight w:val="none"/>
        </w:rPr>
        <w:t xml:space="preserve">得分</w:t>
      </w:r>
      <w:r>
        <w:rPr>
          <w:rFonts w:hint="eastAsia" w:ascii="宋体" w:hAnsi="宋体"/>
          <w:color w:val="auto"/>
          <w:szCs w:val="21"/>
          <w:highlight w:val="none"/>
        </w:rPr>
        <w:t xml:space="preserve">最高的响应</w:t>
      </w:r>
      <w:r>
        <w:rPr>
          <w:rFonts w:ascii="宋体" w:hAnsi="宋体"/>
          <w:color w:val="auto"/>
          <w:szCs w:val="21"/>
          <w:highlight w:val="none"/>
        </w:rPr>
        <w:t xml:space="preserve">供应商为</w:t>
      </w:r>
      <w:r>
        <w:rPr>
          <w:rFonts w:hint="eastAsia" w:ascii="宋体" w:hAnsi="宋体"/>
          <w:color w:val="auto"/>
          <w:szCs w:val="21"/>
          <w:highlight w:val="none"/>
          <w:lang w:val="en-US" w:eastAsia="zh-CN"/>
        </w:rPr>
        <w:t xml:space="preserve">相应标段的</w:t>
      </w:r>
      <w:r>
        <w:rPr>
          <w:rFonts w:ascii="宋体" w:hAnsi="宋体"/>
          <w:color w:val="auto"/>
          <w:szCs w:val="21"/>
          <w:highlight w:val="none"/>
        </w:rPr>
        <w:t xml:space="preserve">成交供应商</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本项目供应商不得兼中两个标段，即一标段成交供应商不再具备二标段的成交资格。</w:t>
      </w:r>
      <w:r/>
    </w:p>
    <w:p>
      <w:pPr>
        <w:numPr>
          <w:ilvl w:val="0"/>
          <w:numId w:val="33"/>
        </w:numPr>
        <w:spacing w:line="400" w:lineRule="exact"/>
        <w:tabs>
          <w:tab w:val="left" w:pos="840" w:leader="none"/>
          <w:tab w:val="left" w:pos="2870" w:leader="none"/>
        </w:tabs>
        <w:rPr>
          <w:rFonts w:ascii="宋体" w:hAnsi="宋体" w:cs="宋体"/>
          <w:color w:val="auto"/>
          <w:highlight w:val="none"/>
        </w:rPr>
      </w:pPr>
      <w:r>
        <w:rPr>
          <w:rFonts w:hint="eastAsia" w:ascii="宋体" w:hAnsi="宋体"/>
          <w:color w:val="auto"/>
          <w:szCs w:val="21"/>
          <w:highlight w:val="none"/>
        </w:rPr>
        <w:t xml:space="preserve">如出现评标总得分最高的磋商响应单位有两个以上的，以实际</w:t>
      </w:r>
      <w:r>
        <w:rPr>
          <w:rFonts w:ascii="宋体" w:hAnsi="宋体"/>
          <w:color w:val="auto"/>
          <w:szCs w:val="21"/>
          <w:highlight w:val="none"/>
        </w:rPr>
        <w:t xml:space="preserve">投标报价较低者优先作为</w:t>
      </w:r>
      <w:r>
        <w:rPr>
          <w:rFonts w:hint="eastAsia" w:ascii="宋体" w:hAnsi="宋体"/>
          <w:color w:val="auto"/>
          <w:szCs w:val="21"/>
          <w:highlight w:val="none"/>
        </w:rPr>
        <w:t xml:space="preserve">成交</w:t>
      </w:r>
      <w:r>
        <w:rPr>
          <w:rFonts w:ascii="宋体" w:hAnsi="宋体"/>
          <w:color w:val="auto"/>
          <w:szCs w:val="21"/>
          <w:highlight w:val="none"/>
        </w:rPr>
        <w:t xml:space="preserve">候选人</w:t>
      </w:r>
      <w:r>
        <w:rPr>
          <w:rFonts w:hint="eastAsia" w:ascii="宋体" w:hAnsi="宋体"/>
          <w:color w:val="auto"/>
          <w:szCs w:val="21"/>
          <w:highlight w:val="none"/>
        </w:rPr>
        <w:t xml:space="preserve">；</w:t>
      </w:r>
      <w:r>
        <w:rPr>
          <w:rFonts w:ascii="宋体" w:hAnsi="宋体"/>
          <w:color w:val="auto"/>
          <w:szCs w:val="21"/>
          <w:highlight w:val="none"/>
        </w:rPr>
        <w:t xml:space="preserve">如果</w:t>
      </w:r>
      <w:r>
        <w:rPr>
          <w:rFonts w:hint="eastAsia" w:ascii="宋体" w:hAnsi="宋体"/>
          <w:color w:val="auto"/>
          <w:szCs w:val="21"/>
          <w:highlight w:val="none"/>
        </w:rPr>
        <w:t xml:space="preserve">投标报</w:t>
      </w:r>
      <w:r>
        <w:rPr>
          <w:rFonts w:hint="eastAsia" w:ascii="宋体" w:hAnsi="宋体" w:cs="宋体"/>
          <w:color w:val="auto"/>
          <w:szCs w:val="21"/>
          <w:highlight w:val="none"/>
        </w:rPr>
        <w:t xml:space="preserve">价也相同的，则由代理机构组织以抽签方式确定成交候选人</w:t>
      </w:r>
      <w:r>
        <w:rPr>
          <w:rFonts w:hint="eastAsia" w:ascii="宋体" w:hAnsi="宋体" w:cs="宋体"/>
          <w:color w:val="auto"/>
          <w:highlight w:val="none"/>
        </w:rPr>
        <w:t xml:space="preserve">。</w:t>
      </w:r>
      <w:r/>
    </w:p>
    <w:p>
      <w:pPr>
        <w:numPr>
          <w:ilvl w:val="0"/>
          <w:numId w:val="33"/>
        </w:numPr>
        <w:spacing w:line="400" w:lineRule="exact"/>
        <w:tabs>
          <w:tab w:val="left" w:pos="840" w:leader="none"/>
          <w:tab w:val="left" w:pos="287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34"/>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全部通过符合性审查供应商投标（响应）报价平均值50%的，即投标（响应）报价＜全部通过符合性审查供应商投标（响应）报价平均值</w:t>
      </w:r>
      <w:r>
        <w:rPr>
          <w:rFonts w:hint="eastAsia" w:ascii="宋体" w:hAnsi="宋体" w:cs="宋体"/>
          <w:color w:val="auto"/>
          <w:szCs w:val="21"/>
          <w:highlight w:val="none"/>
          <w:shd w:val="clear" w:color="auto" w:fill="auto"/>
        </w:rPr>
        <w:t xml:space="preserve">×50%</w:t>
      </w:r>
      <w:r>
        <w:rPr>
          <w:rFonts w:hint="eastAsia" w:ascii="宋体" w:hAnsi="宋体" w:cs="宋体"/>
          <w:color w:val="auto"/>
          <w:szCs w:val="21"/>
          <w:highlight w:val="none"/>
          <w:shd w:val="clear" w:color="auto" w:fill="auto"/>
          <w:lang w:eastAsia="zh-CN"/>
        </w:rPr>
        <w:t xml:space="preserve">；</w:t>
      </w:r>
      <w:r/>
    </w:p>
    <w:p>
      <w:pPr>
        <w:numPr>
          <w:ilvl w:val="0"/>
          <w:numId w:val="34"/>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通过符合性审查的次低报价供应商投标（响应）报价50%的，即投标（响应）报价＜通过符合性审查的次低报价供应商投标（响应）报价</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val="en-US" w:eastAsia="zh-CN"/>
        </w:rPr>
        <w:t xml:space="preserve">50%；</w:t>
      </w:r>
      <w:r/>
    </w:p>
    <w:p>
      <w:pPr>
        <w:numPr>
          <w:ilvl w:val="0"/>
          <w:numId w:val="34"/>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采购项目最高限价×45%；</w:t>
      </w:r>
      <w:r/>
    </w:p>
    <w:p>
      <w:pPr>
        <w:numPr>
          <w:ilvl w:val="0"/>
          <w:numId w:val="34"/>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w:t>
      </w:r>
      <w:r>
        <w:rPr>
          <w:rFonts w:hint="eastAsia" w:ascii="宋体" w:hAnsi="宋体" w:cs="宋体"/>
          <w:color w:val="auto"/>
          <w:szCs w:val="21"/>
          <w:highlight w:val="none"/>
          <w:shd w:val="clear" w:color="auto" w:fill="auto"/>
          <w:lang w:val="en-US" w:eastAsia="zh-CN"/>
        </w:rPr>
        <w:t xml:space="preserve">基于专业判断，认为</w:t>
      </w:r>
      <w:r>
        <w:rPr>
          <w:rFonts w:hint="eastAsia" w:ascii="宋体" w:hAnsi="宋体" w:cs="宋体"/>
          <w:color w:val="auto"/>
          <w:szCs w:val="21"/>
          <w:highlight w:val="none"/>
          <w:shd w:val="clear" w:color="auto" w:fill="auto"/>
        </w:rPr>
        <w:t xml:space="preserve">供应商报价过低</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有可能影响产品质量或者不能诚信履约的其他情形。</w:t>
      </w:r>
      <w:r/>
    </w:p>
    <w:p>
      <w:pPr>
        <w:numPr>
          <w:ilvl w:val="0"/>
          <w:numId w:val="33"/>
        </w:numPr>
        <w:spacing w:line="400" w:lineRule="exact"/>
        <w:tabs>
          <w:tab w:val="left" w:pos="840" w:leader="none"/>
          <w:tab w:val="left" w:pos="287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评审委员会启动异常低价投标(响应)审查后，属于前述第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项至第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4</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3</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项情形，供应商已随投标(响应)文件一并提交相关书面说明及必要的证明材料的，在评审现场可不再重复提交。</w:t>
      </w:r>
      <w:r/>
    </w:p>
    <w:p>
      <w:pPr>
        <w:numPr>
          <w:ilvl w:val="0"/>
          <w:numId w:val="33"/>
        </w:numPr>
        <w:spacing w:line="400" w:lineRule="exact"/>
        <w:tabs>
          <w:tab w:val="left" w:pos="840" w:leader="none"/>
          <w:tab w:val="left" w:pos="2870" w:leader="none"/>
        </w:tabs>
        <w:rPr>
          <w:rFonts w:ascii="宋体" w:hAnsi="宋体"/>
          <w:color w:val="auto"/>
          <w:highlight w:val="none"/>
          <w:shd w:val="clear" w:color="auto" w:fill="auto"/>
        </w:rPr>
      </w:pPr>
      <w:r>
        <w:rPr>
          <w:rFonts w:hint="eastAsia" w:ascii="宋体" w:hAnsi="宋体" w:cs="宋体"/>
          <w:color w:val="auto"/>
          <w:szCs w:val="21"/>
          <w:highlight w:val="none"/>
          <w:shd w:val="clear" w:color="auto" w:fill="auto"/>
        </w:rPr>
        <w:t xml:space="preserve">评审委员会依据专业经验，参考同类项目中标(成交)价格、类似产品市场价格水平、行业人工费用标准、</w:t>
      </w:r>
      <w:r>
        <w:rPr>
          <w:rFonts w:hint="eastAsia" w:ascii="宋体" w:hAnsi="宋体" w:eastAsia="宋体" w:cs="Times New Roman"/>
          <w:color w:val="auto"/>
          <w:szCs w:val="21"/>
          <w:highlight w:val="none"/>
          <w:shd w:val="clear" w:color="auto" w:fill="auto"/>
        </w:rPr>
        <w:t xml:space="preserve">国家</w:t>
      </w:r>
      <w:r>
        <w:rPr>
          <w:rFonts w:hint="eastAsia" w:ascii="宋体" w:hAnsi="宋体" w:cs="宋体"/>
          <w:color w:val="auto"/>
          <w:szCs w:val="21"/>
          <w:highlight w:val="none"/>
          <w:shd w:val="clear" w:color="auto" w:fill="auto"/>
        </w:rPr>
        <w:t xml:space="preserve">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32"/>
        </w:numPr>
        <w:ind w:left="525" w:hanging="525"/>
        <w:spacing w:line="400" w:lineRule="exact"/>
        <w:tabs>
          <w:tab w:val="clear" w:pos="420" w:leader="none"/>
          <w:tab w:val="left" w:pos="525"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评分标准</w:t>
      </w:r>
      <w:r/>
    </w:p>
    <w:p>
      <w:pPr>
        <w:pStyle w:val="963"/>
        <w:ind w:left="0" w:firstLine="0"/>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szCs w:val="21"/>
          <w:highlight w:val="none"/>
          <w:lang w:val="en-US" w:eastAsia="zh-CN"/>
        </w:rPr>
        <w:t xml:space="preserve">一标段</w:t>
      </w:r>
      <w:r/>
    </w:p>
    <w:p>
      <w:pPr>
        <w:numPr>
          <w:ilvl w:val="0"/>
          <w:numId w:val="35"/>
        </w:numPr>
        <w:keepLines w:val="0"/>
        <w:keepNext w:val="0"/>
        <w:pageBreakBefore w:val="0"/>
        <w:spacing w:line="400" w:lineRule="exact"/>
        <w:widowControl w:val="off"/>
        <w:rPr>
          <w:rFonts w:ascii="宋体" w:hAnsi="宋体" w:cs="宋体"/>
          <w:b/>
          <w:color w:val="auto"/>
          <w:szCs w:val="21"/>
          <w:highlight w:val="none"/>
        </w:rPr>
      </w:pPr>
      <w:r>
        <w:rPr>
          <w:rFonts w:hint="eastAsia" w:ascii="宋体" w:hAnsi="宋体" w:cs="宋体"/>
          <w:b/>
          <w:color w:val="auto"/>
          <w:szCs w:val="21"/>
          <w:highlight w:val="none"/>
        </w:rPr>
        <w:t xml:space="preserve">价格分（10分）</w:t>
      </w:r>
      <w:r/>
    </w:p>
    <w:p>
      <w:pPr>
        <w:numPr>
          <w:ilvl w:val="0"/>
          <w:numId w:val="36"/>
        </w:numPr>
        <w:keepLines w:val="0"/>
        <w:keepNext w:val="0"/>
        <w:pageBreakBefore w:val="0"/>
        <w:spacing w:line="400" w:lineRule="exact"/>
        <w:widowControl w:val="off"/>
        <w:tabs>
          <w:tab w:val="left" w:pos="840" w:leader="none"/>
          <w:tab w:val="left" w:pos="2870" w:leader="none"/>
        </w:tabs>
        <w:rPr>
          <w:rFonts w:ascii="宋体" w:hAnsi="宋体" w:cs="宋体"/>
          <w:color w:val="auto"/>
          <w:szCs w:val="21"/>
          <w:highlight w:val="none"/>
        </w:rPr>
      </w:pPr>
      <w:r/>
      <w:bookmarkStart w:id="5" w:name="OLE_LINK2"/>
      <w:r>
        <w:rPr>
          <w:rFonts w:hint="eastAsia" w:ascii="宋体" w:hAnsi="宋体" w:cs="宋体"/>
          <w:color w:val="auto"/>
          <w:szCs w:val="21"/>
          <w:highlight w:val="none"/>
        </w:rPr>
        <w:t xml:space="preserve">磋商报价在磋商文件规定的范围内为有效报价。超出此范围的报价为无效报价。无效磋商报价的响应文件不进行评审，也不得标。</w:t>
      </w:r>
      <w:r/>
    </w:p>
    <w:p>
      <w:pPr>
        <w:numPr>
          <w:ilvl w:val="0"/>
          <w:numId w:val="36"/>
        </w:numPr>
        <w:keepLines w:val="0"/>
        <w:keepNext w:val="0"/>
        <w:pageBreakBefore w:val="0"/>
        <w:spacing w:line="400" w:lineRule="exact"/>
        <w:widowControl w:val="off"/>
        <w:tabs>
          <w:tab w:val="left" w:pos="840" w:leader="none"/>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价格得分计算方法：根据各响应单位通过符合性审查的有效磋商报价中的最低价作为评审基准价，其价格分为满分。</w:t>
      </w:r>
      <w:r/>
    </w:p>
    <w:p>
      <w:pPr>
        <w:numPr>
          <w:ilvl w:val="0"/>
          <w:numId w:val="36"/>
        </w:numPr>
        <w:keepLines w:val="0"/>
        <w:keepNext w:val="0"/>
        <w:pageBreakBefore w:val="0"/>
        <w:spacing w:line="400" w:lineRule="exact"/>
        <w:widowControl w:val="off"/>
        <w:tabs>
          <w:tab w:val="left" w:pos="840" w:leader="none"/>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其他响应单位的价格分统一按照下列公式计算：</w:t>
      </w:r>
      <w:r/>
    </w:p>
    <w:p>
      <w:pPr>
        <w:ind w:left="567"/>
        <w:keepLines w:val="0"/>
        <w:keepNext w:val="0"/>
        <w:pageBreakBefore w:val="0"/>
        <w:spacing w:line="400" w:lineRule="exact"/>
        <w:widowControl w:val="off"/>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磋商报价得分=（评审基准价/磋商报价）×价格权值×100（本次磋商报价权值为10%）（保留小数点后二位）。</w:t>
      </w:r>
      <w:r/>
    </w:p>
    <w:p>
      <w:pPr>
        <w:numPr>
          <w:ilvl w:val="0"/>
          <w:numId w:val="35"/>
        </w:numPr>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技术方案</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水平</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60</w:t>
      </w:r>
      <w:r>
        <w:rPr>
          <w:rFonts w:hint="eastAsia" w:ascii="宋体" w:hAnsi="宋体" w:cs="宋体"/>
          <w:b/>
          <w:color w:val="auto"/>
          <w:szCs w:val="21"/>
          <w:highlight w:val="none"/>
        </w:rPr>
        <w:t xml:space="preserve">分）</w:t>
      </w:r>
      <w:r/>
    </w:p>
    <w:p>
      <w:pPr>
        <w:numPr>
          <w:ilvl w:val="0"/>
          <w:numId w:val="37"/>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总体</w:t>
      </w:r>
      <w:r>
        <w:rPr>
          <w:rFonts w:hint="eastAsia" w:ascii="宋体" w:hAnsi="宋体" w:cs="宋体"/>
          <w:color w:val="auto"/>
          <w:szCs w:val="21"/>
          <w:highlight w:val="none"/>
          <w:lang w:val="en-US" w:eastAsia="zh-CN"/>
        </w:rPr>
        <w:t xml:space="preserve">分析</w:t>
      </w:r>
      <w:r>
        <w:rPr>
          <w:rFonts w:hint="eastAsia" w:ascii="宋体" w:hAnsi="宋体" w:eastAsia="宋体" w:cs="宋体"/>
          <w:color w:val="auto"/>
          <w:szCs w:val="21"/>
          <w:highlight w:val="none"/>
        </w:rPr>
        <w:t xml:space="preserve">理解（10分）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能够精准理解本项目核心工作定位，清晰阐述对于空气质量巡查以及大气污染防治相关工作技术支持需求的理解分析，对于项目年度目标任务有明确的认知，内容详实、完整、有针对性，理解无偏差得10分；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对于本项目核心工作定位理解基本准确，对于项目需求理解基本符合项目实际，对于项目目标任务认知无偏差得7分；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对于项目总体仅有简单的内容阐述，未能结合项目核心工作需求展开理解分析得4分；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对于项目总体需求认知存在偏差，理解分析不够准确得1分；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不提供不得分。</w:t>
      </w:r>
      <w:r/>
    </w:p>
    <w:p>
      <w:pPr>
        <w:numPr>
          <w:ilvl w:val="0"/>
          <w:numId w:val="37"/>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空气质量</w:t>
      </w:r>
      <w:r>
        <w:rPr>
          <w:rFonts w:hint="eastAsia" w:ascii="宋体" w:hAnsi="宋体" w:eastAsia="宋体" w:cs="宋体"/>
          <w:color w:val="auto"/>
          <w:szCs w:val="24"/>
          <w:highlight w:val="none"/>
        </w:rPr>
        <w:t xml:space="preserve">巡查服务方案（</w:t>
      </w:r>
      <w:r>
        <w:rPr>
          <w:rFonts w:hint="eastAsia" w:ascii="宋体" w:hAnsi="宋体" w:cs="宋体"/>
          <w:color w:val="auto"/>
          <w:szCs w:val="24"/>
          <w:highlight w:val="none"/>
          <w:lang w:val="en-US" w:eastAsia="zh-CN"/>
        </w:rPr>
        <w:t xml:space="preserve">20</w:t>
      </w:r>
      <w:r>
        <w:rPr>
          <w:rFonts w:hint="eastAsia" w:ascii="宋体" w:hAnsi="宋体" w:eastAsia="宋体" w:cs="宋体"/>
          <w:color w:val="auto"/>
          <w:szCs w:val="24"/>
          <w:highlight w:val="none"/>
        </w:rPr>
        <w:t xml:space="preserve">分）</w:t>
      </w:r>
      <w:r/>
    </w:p>
    <w:p>
      <w:pPr>
        <w:numPr>
          <w:ilvl w:val="0"/>
          <w:numId w:val="38"/>
        </w:numPr>
        <w:ind w:left="567" w:hanging="567"/>
        <w:keepLines w:val="0"/>
        <w:keepNext w:val="0"/>
        <w:pageBreakBefore w:val="0"/>
        <w:spacing w:line="400" w:lineRule="exact"/>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对日常巡查、数据高值异常巡查、重污染天气管控</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重大活动保障以及其它甲方要求的临时管控服务工作提供的技术路线、实施方案进行综合评价</w:t>
      </w:r>
      <w:r>
        <w:rPr>
          <w:rFonts w:hint="eastAsia" w:ascii="宋体" w:hAnsi="宋体" w:eastAsia="宋体" w:cs="宋体"/>
          <w:color w:val="auto"/>
          <w:szCs w:val="21"/>
          <w:highlight w:val="none"/>
          <w:lang w:val="en-US" w:eastAsia="zh-CN"/>
        </w:rPr>
        <w:t xml:space="preserve">。</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方案合理，选用依据标准准确，内容详实，章节条理清晰，有明确的服务质量保障措施、有针对性方案的得</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方案较合理，</w:t>
      </w:r>
      <w:r>
        <w:rPr>
          <w:rFonts w:hint="eastAsia" w:ascii="宋体" w:hAnsi="宋体" w:eastAsia="宋体" w:cs="宋体"/>
          <w:color w:val="auto"/>
          <w:szCs w:val="21"/>
          <w:highlight w:val="none"/>
        </w:rPr>
        <w:t xml:space="preserve">选用依据标准符合项目需求</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内容和章节有条理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质量保证措施较可行的得7分；</w:t>
      </w:r>
      <w:r/>
    </w:p>
    <w:p>
      <w:pPr>
        <w:ind w:left="567"/>
        <w:jc w:val="left"/>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方案基本能够符合项目需求，内容和章节</w:t>
      </w:r>
      <w:r>
        <w:rPr>
          <w:rFonts w:hint="eastAsia" w:ascii="宋体" w:hAnsi="宋体" w:cs="宋体"/>
          <w:color w:val="auto"/>
          <w:szCs w:val="21"/>
          <w:highlight w:val="none"/>
          <w:lang w:val="en-US" w:eastAsia="zh-CN"/>
        </w:rPr>
        <w:t xml:space="preserve">条理简单</w:t>
      </w:r>
      <w:r>
        <w:rPr>
          <w:rFonts w:hint="eastAsia" w:ascii="宋体" w:hAnsi="宋体" w:eastAsia="宋体" w:cs="宋体"/>
          <w:color w:val="auto"/>
          <w:szCs w:val="21"/>
          <w:highlight w:val="none"/>
        </w:rPr>
        <w:t xml:space="preserve">，保障措施基本可行的得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方案线路和选用标准不太明确，服务质量保障措施不太可行、方案有缺失的得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default" w:ascii="宋体" w:hAnsi="宋体" w:eastAsia="宋体" w:cs="宋体"/>
          <w:color w:val="auto"/>
          <w:szCs w:val="21"/>
          <w:highlight w:val="none"/>
        </w:rPr>
        <w:t xml:space="preserve">不提供不得分。</w:t>
      </w:r>
      <w:r/>
    </w:p>
    <w:p>
      <w:pPr>
        <w:numPr>
          <w:ilvl w:val="0"/>
          <w:numId w:val="38"/>
        </w:numPr>
        <w:ind w:left="567" w:hanging="567"/>
        <w:keepLines w:val="0"/>
        <w:keepNext w:val="0"/>
        <w:pageBreakBefore w:val="0"/>
        <w:spacing w:line="40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对</w:t>
      </w:r>
      <w:r>
        <w:rPr>
          <w:rFonts w:hint="eastAsia" w:ascii="宋体" w:hAnsi="宋体" w:eastAsia="宋体" w:cs="宋体"/>
          <w:color w:val="auto"/>
          <w:szCs w:val="21"/>
          <w:highlight w:val="none"/>
        </w:rPr>
        <w:t xml:space="preserve">动态更新重点区域污染源清单，结合上风向、管控距离、管控要求等梳理各类点源清单服务工作提供的技术路线、实施方案进行综合评价</w:t>
      </w:r>
      <w:r>
        <w:rPr>
          <w:rFonts w:hint="eastAsia" w:ascii="宋体" w:hAnsi="宋体" w:eastAsia="宋体" w:cs="宋体"/>
          <w:color w:val="auto"/>
          <w:szCs w:val="21"/>
          <w:highlight w:val="none"/>
          <w:lang w:eastAsia="zh-CN"/>
        </w:rPr>
        <w:t xml:space="preserve">。</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方案合理，选用依据标准准确，内容详实，章节条理清晰，有明确的服务质量保障措施、有针对性方案的得</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方案较合理，</w:t>
      </w:r>
      <w:r>
        <w:rPr>
          <w:rFonts w:hint="eastAsia" w:ascii="宋体" w:hAnsi="宋体" w:eastAsia="宋体" w:cs="宋体"/>
          <w:color w:val="auto"/>
          <w:szCs w:val="21"/>
          <w:highlight w:val="none"/>
        </w:rPr>
        <w:t xml:space="preserve">选用依据标准符合项目需求</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内容和章节有条理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质量保证措施较可行的得7分；</w:t>
      </w:r>
      <w:r/>
    </w:p>
    <w:p>
      <w:pPr>
        <w:ind w:left="567"/>
        <w:jc w:val="left"/>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方案基本能够符合项目需求，内容和章节</w:t>
      </w:r>
      <w:r>
        <w:rPr>
          <w:rFonts w:hint="eastAsia" w:ascii="宋体" w:hAnsi="宋体" w:cs="宋体"/>
          <w:color w:val="auto"/>
          <w:szCs w:val="21"/>
          <w:highlight w:val="none"/>
          <w:lang w:val="en-US" w:eastAsia="zh-CN"/>
        </w:rPr>
        <w:t xml:space="preserve">条理简单</w:t>
      </w:r>
      <w:r>
        <w:rPr>
          <w:rFonts w:hint="eastAsia" w:ascii="宋体" w:hAnsi="宋体" w:eastAsia="宋体" w:cs="宋体"/>
          <w:color w:val="auto"/>
          <w:szCs w:val="21"/>
          <w:highlight w:val="none"/>
        </w:rPr>
        <w:t xml:space="preserve">，保障措施基本可行的得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方案线路和选用标准不太明确，服务质量保障措施不太可行、方案有缺失的得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default" w:ascii="宋体" w:hAnsi="宋体" w:eastAsia="宋体" w:cs="宋体"/>
          <w:color w:val="auto"/>
          <w:szCs w:val="21"/>
          <w:highlight w:val="none"/>
        </w:rPr>
        <w:t xml:space="preserve">不提供不得分。</w:t>
      </w:r>
      <w:r/>
    </w:p>
    <w:p>
      <w:pPr>
        <w:numPr>
          <w:ilvl w:val="0"/>
          <w:numId w:val="37"/>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专项技术</w:t>
      </w:r>
      <w:r>
        <w:rPr>
          <w:rFonts w:hint="eastAsia" w:ascii="宋体" w:hAnsi="宋体" w:eastAsia="宋体" w:cs="宋体"/>
          <w:color w:val="auto"/>
          <w:szCs w:val="24"/>
          <w:highlight w:val="none"/>
        </w:rPr>
        <w:t xml:space="preserve">服务方案（10分）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对</w:t>
      </w:r>
      <w:r>
        <w:rPr>
          <w:rFonts w:hint="eastAsia" w:ascii="宋体" w:hAnsi="宋体" w:eastAsia="宋体" w:cs="宋体"/>
          <w:color w:val="auto"/>
          <w:szCs w:val="21"/>
          <w:highlight w:val="none"/>
        </w:rPr>
        <w:t xml:space="preserve">重污染天气应急减排清单</w:t>
      </w:r>
      <w:r>
        <w:rPr>
          <w:rFonts w:hint="eastAsia" w:ascii="宋体" w:hAnsi="宋体" w:eastAsia="宋体" w:cs="宋体"/>
          <w:color w:val="auto"/>
          <w:szCs w:val="21"/>
          <w:highlight w:val="none"/>
          <w:lang w:val="en-US" w:eastAsia="zh-CN"/>
        </w:rPr>
        <w:t xml:space="preserve">修订、</w:t>
      </w:r>
      <w:r>
        <w:rPr>
          <w:rFonts w:hint="eastAsia" w:ascii="宋体" w:hAnsi="宋体" w:eastAsia="宋体" w:cs="宋体"/>
          <w:color w:val="auto"/>
          <w:szCs w:val="21"/>
          <w:highlight w:val="none"/>
        </w:rPr>
        <w:t xml:space="preserve">大气污染物与温室气体融合</w:t>
      </w:r>
      <w:r>
        <w:rPr>
          <w:rFonts w:hint="eastAsia" w:ascii="宋体" w:hAnsi="宋体" w:eastAsia="宋体" w:cs="宋体"/>
          <w:color w:val="auto"/>
          <w:szCs w:val="21"/>
          <w:highlight w:val="none"/>
          <w:lang w:val="en-US" w:eastAsia="zh-CN"/>
        </w:rPr>
        <w:t xml:space="preserve">排放清单编制、消耗臭氧层物质备案及数据报送核查等专项技术服务工作提供的技术路线、实施方案进行综合评价。</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方案合理，选用依据标准准确，内容详实，章节条理清晰，有明确的服务质量保障措施、有针对性方案的得10分；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方案较合理，选用依据标准较准确，</w:t>
      </w:r>
      <w:r>
        <w:rPr>
          <w:rFonts w:hint="eastAsia" w:ascii="宋体" w:hAnsi="宋体" w:eastAsia="宋体" w:cs="宋体"/>
          <w:color w:val="auto"/>
          <w:szCs w:val="21"/>
          <w:highlight w:val="none"/>
        </w:rPr>
        <w:t xml:space="preserve">内容和章节有条理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保障措施</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可行</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lang w:val="en-US" w:eastAsia="zh-CN"/>
        </w:rPr>
        <w:t xml:space="preserve">得7分；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方案线路和选用标准基本能够符合项目需求，内容和章节</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rPr>
        <w:t xml:space="preserve">有条理，保障措施基本可行的得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方案线路和选用标准不太明确，服务质量保障措施不太可行、方案有缺失的得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default" w:ascii="宋体" w:hAnsi="宋体" w:eastAsia="宋体" w:cs="宋体"/>
          <w:color w:val="auto"/>
          <w:szCs w:val="21"/>
          <w:highlight w:val="none"/>
        </w:rPr>
        <w:t xml:space="preserve">不提供不得分。</w:t>
      </w:r>
      <w:r/>
    </w:p>
    <w:p>
      <w:pPr>
        <w:numPr>
          <w:ilvl w:val="0"/>
          <w:numId w:val="37"/>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台账、报告编制方案（</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对本项目提供的台账、项目成果、报告编制方案进行综合评价。</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方案合理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内容详实，章节条理清晰，有明确的服务质量保障措施、有针对性方案的得</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方案线路</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项目成果等</w:t>
      </w:r>
      <w:r>
        <w:rPr>
          <w:rFonts w:hint="eastAsia" w:ascii="宋体" w:hAnsi="宋体" w:eastAsia="宋体" w:cs="宋体"/>
          <w:color w:val="auto"/>
          <w:szCs w:val="21"/>
          <w:highlight w:val="none"/>
        </w:rPr>
        <w:t xml:space="preserve">基本能够符合项目需求，内容和章节有条理，保障措施基本可行的得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4"/>
          <w:highlight w:val="none"/>
        </w:rPr>
      </w:pPr>
      <w:r>
        <w:rPr>
          <w:rFonts w:hint="eastAsia" w:ascii="宋体" w:hAnsi="宋体" w:eastAsia="宋体" w:cs="宋体"/>
          <w:color w:val="auto"/>
          <w:szCs w:val="21"/>
          <w:highlight w:val="none"/>
        </w:rPr>
        <w:t xml:space="preserve">方案线路</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项目</w:t>
      </w:r>
      <w:r>
        <w:rPr>
          <w:rFonts w:hint="eastAsia" w:ascii="宋体" w:hAnsi="宋体" w:cs="宋体"/>
          <w:color w:val="auto"/>
          <w:szCs w:val="24"/>
          <w:highlight w:val="none"/>
          <w:lang w:val="en-US" w:eastAsia="zh-CN"/>
        </w:rPr>
        <w:t xml:space="preserve">成果等</w:t>
      </w:r>
      <w:r>
        <w:rPr>
          <w:rFonts w:hint="eastAsia" w:ascii="宋体" w:hAnsi="宋体" w:eastAsia="宋体" w:cs="宋体"/>
          <w:color w:val="auto"/>
          <w:szCs w:val="24"/>
          <w:highlight w:val="none"/>
        </w:rPr>
        <w:t xml:space="preserve">不太明确，服务质量保障措施不太可行、方案有缺失的得</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default" w:ascii="宋体" w:hAnsi="宋体" w:eastAsia="宋体" w:cs="宋体"/>
          <w:color w:val="auto"/>
          <w:szCs w:val="21"/>
          <w:highlight w:val="none"/>
        </w:rPr>
        <w:t xml:space="preserve">不提供不得分。</w:t>
      </w:r>
      <w:r/>
    </w:p>
    <w:p>
      <w:pPr>
        <w:numPr>
          <w:ilvl w:val="0"/>
          <w:numId w:val="37"/>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项目实施保障（6分）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对本项目提供的实施计划、组织管理、项目进度保障方案进行综合评价。</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项目计划安排排科学、组织人员管理合理、有明确且针对性进度保障方案的得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 </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方案较科学、较合理、措施较可行得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 </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4"/>
          <w:highlight w:val="none"/>
        </w:rPr>
      </w:pPr>
      <w:r>
        <w:rPr>
          <w:rFonts w:hint="eastAsia" w:ascii="宋体" w:hAnsi="宋体" w:eastAsia="宋体" w:cs="宋体"/>
          <w:color w:val="auto"/>
          <w:szCs w:val="21"/>
          <w:highlight w:val="none"/>
          <w:lang w:val="en-US" w:eastAsia="zh-CN"/>
        </w:rPr>
        <w:t xml:space="preserve">方案基本合理、基本可</w:t>
      </w:r>
      <w:r>
        <w:rPr>
          <w:rFonts w:hint="eastAsia" w:ascii="宋体" w:hAnsi="宋体" w:eastAsia="宋体" w:cs="宋体"/>
          <w:color w:val="auto"/>
          <w:szCs w:val="24"/>
          <w:highlight w:val="none"/>
          <w:lang w:val="en-US" w:eastAsia="zh-CN"/>
        </w:rPr>
        <w:t xml:space="preserve">行得</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val="en-US" w:eastAsia="zh-CN"/>
        </w:rPr>
        <w:t xml:space="preserve">分； </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default" w:ascii="宋体" w:hAnsi="宋体" w:eastAsia="宋体" w:cs="宋体"/>
          <w:color w:val="auto"/>
          <w:szCs w:val="21"/>
          <w:highlight w:val="none"/>
        </w:rPr>
        <w:t xml:space="preserve">不提供不得分。</w:t>
      </w:r>
      <w:r/>
    </w:p>
    <w:p>
      <w:pPr>
        <w:numPr>
          <w:ilvl w:val="0"/>
          <w:numId w:val="37"/>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项目服务响应体系</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对本项目提供的响应体系、应急保障方案进行综合评价。</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响应体系科学、完善，应急保障科学合理的得 6 分； </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响应体系较完善，应急保障较科学的得 4 分； </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响应体系基本完善，应急保障基本符合需求的得 2 分； </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不提供不得分。</w:t>
      </w:r>
      <w:r/>
    </w:p>
    <w:p>
      <w:pPr>
        <w:numPr>
          <w:ilvl w:val="0"/>
          <w:numId w:val="35"/>
        </w:numPr>
        <w:keepLines w:val="0"/>
        <w:keepNext w:val="0"/>
        <w:pageBreakBefore w:val="0"/>
        <w:spacing w:line="40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针对本项目</w:t>
      </w:r>
      <w:r>
        <w:rPr>
          <w:rFonts w:hint="eastAsia" w:ascii="宋体" w:hAnsi="宋体" w:eastAsia="宋体" w:cs="宋体"/>
          <w:b/>
          <w:color w:val="auto"/>
          <w:szCs w:val="21"/>
          <w:highlight w:val="none"/>
        </w:rPr>
        <w:t xml:space="preserve">人员配置（</w:t>
      </w:r>
      <w:r>
        <w:rPr>
          <w:rFonts w:hint="eastAsia" w:ascii="宋体" w:hAnsi="宋体" w:eastAsia="宋体" w:cs="宋体"/>
          <w:b/>
          <w:color w:val="auto"/>
          <w:szCs w:val="21"/>
          <w:highlight w:val="none"/>
          <w:lang w:val="en-US" w:eastAsia="zh-CN"/>
        </w:rPr>
        <w:t xml:space="preserve">2</w:t>
      </w: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分）</w:t>
      </w:r>
      <w:r/>
    </w:p>
    <w:p>
      <w:pPr>
        <w:numPr>
          <w:ilvl w:val="0"/>
          <w:numId w:val="39"/>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项目负责人</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numPr>
          <w:ilvl w:val="0"/>
          <w:numId w:val="40"/>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具有环境保护类专业</w:t>
      </w:r>
      <w:r>
        <w:rPr>
          <w:rFonts w:hint="eastAsia" w:ascii="宋体" w:hAnsi="宋体" w:eastAsia="宋体" w:cs="宋体"/>
          <w:b w:val="0"/>
          <w:bCs w:val="0"/>
          <w:color w:val="auto"/>
          <w:sz w:val="21"/>
          <w:szCs w:val="21"/>
          <w:highlight w:val="none"/>
          <w:lang w:val="en-US" w:eastAsia="zh-CN"/>
        </w:rPr>
        <w:t xml:space="preserve">副</w:t>
      </w:r>
      <w:r>
        <w:rPr>
          <w:rFonts w:hint="eastAsia" w:ascii="宋体" w:hAnsi="宋体" w:eastAsia="宋体" w:cs="宋体"/>
          <w:b w:val="0"/>
          <w:bCs w:val="0"/>
          <w:color w:val="auto"/>
          <w:sz w:val="21"/>
          <w:szCs w:val="21"/>
          <w:highlight w:val="none"/>
        </w:rPr>
        <w:t xml:space="preserve">高级技术职称及以上</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具有环境保护类专业中级技术职称的得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numPr>
          <w:ilvl w:val="0"/>
          <w:numId w:val="40"/>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具有环境保护类专业</w:t>
      </w:r>
      <w:r>
        <w:rPr>
          <w:rFonts w:hint="eastAsia" w:ascii="宋体" w:hAnsi="宋体" w:cs="宋体"/>
          <w:b w:val="0"/>
          <w:bCs w:val="0"/>
          <w:color w:val="auto"/>
          <w:sz w:val="21"/>
          <w:szCs w:val="21"/>
          <w:highlight w:val="none"/>
          <w:lang w:val="en-US" w:eastAsia="zh-CN"/>
        </w:rPr>
        <w:t xml:space="preserve">硕士及以上</w:t>
      </w:r>
      <w:r>
        <w:rPr>
          <w:rFonts w:hint="eastAsia" w:ascii="宋体" w:hAnsi="宋体" w:eastAsia="宋体" w:cs="宋体"/>
          <w:b w:val="0"/>
          <w:bCs w:val="0"/>
          <w:color w:val="auto"/>
          <w:sz w:val="21"/>
          <w:szCs w:val="21"/>
          <w:highlight w:val="none"/>
          <w:lang w:val="zh-CN"/>
        </w:rPr>
        <w:t xml:space="preserve">学位</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具有环境保护类专业</w:t>
      </w:r>
      <w:r>
        <w:rPr>
          <w:rFonts w:hint="eastAsia" w:ascii="宋体" w:hAnsi="宋体" w:cs="宋体"/>
          <w:b w:val="0"/>
          <w:bCs w:val="0"/>
          <w:color w:val="auto"/>
          <w:sz w:val="21"/>
          <w:szCs w:val="21"/>
          <w:highlight w:val="none"/>
          <w:lang w:val="en-US" w:eastAsia="zh-CN"/>
        </w:rPr>
        <w:t xml:space="preserve">学</w:t>
      </w:r>
      <w:r>
        <w:rPr>
          <w:rFonts w:hint="eastAsia" w:ascii="宋体" w:hAnsi="宋体" w:eastAsia="宋体" w:cs="宋体"/>
          <w:b w:val="0"/>
          <w:bCs w:val="0"/>
          <w:color w:val="auto"/>
          <w:sz w:val="21"/>
          <w:szCs w:val="21"/>
          <w:highlight w:val="none"/>
          <w:lang w:val="en-US" w:eastAsia="zh-CN"/>
        </w:rPr>
        <w:t xml:space="preserve">士</w:t>
      </w:r>
      <w:r>
        <w:rPr>
          <w:rFonts w:hint="eastAsia" w:ascii="宋体" w:hAnsi="宋体" w:eastAsia="宋体" w:cs="宋体"/>
          <w:b w:val="0"/>
          <w:bCs w:val="0"/>
          <w:color w:val="auto"/>
          <w:sz w:val="21"/>
          <w:szCs w:val="21"/>
          <w:highlight w:val="none"/>
          <w:lang w:val="zh-CN"/>
        </w:rPr>
        <w:t xml:space="preserve">学位</w:t>
      </w:r>
      <w:r>
        <w:rPr>
          <w:rFonts w:hint="eastAsia" w:ascii="宋体" w:hAnsi="宋体" w:eastAsia="宋体" w:cs="宋体"/>
          <w:b w:val="0"/>
          <w:bCs w:val="0"/>
          <w:color w:val="auto"/>
          <w:sz w:val="21"/>
          <w:szCs w:val="21"/>
          <w:highlight w:val="none"/>
        </w:rPr>
        <w:t xml:space="preserve">的得1分</w:t>
      </w:r>
      <w:r>
        <w:rPr>
          <w:rFonts w:hint="eastAsia" w:ascii="宋体" w:hAnsi="宋体" w:eastAsia="宋体" w:cs="宋体"/>
          <w:b w:val="0"/>
          <w:bCs w:val="0"/>
          <w:color w:val="auto"/>
          <w:sz w:val="21"/>
          <w:szCs w:val="21"/>
          <w:highlight w:val="none"/>
          <w:lang w:eastAsia="zh-CN"/>
        </w:rPr>
        <w:t xml:space="preserve">。</w:t>
      </w:r>
      <w:r/>
    </w:p>
    <w:p>
      <w:pPr>
        <w:numPr>
          <w:ilvl w:val="0"/>
          <w:numId w:val="39"/>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技术负责人</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分）</w:t>
      </w:r>
      <w:r/>
    </w:p>
    <w:p>
      <w:pPr>
        <w:numPr>
          <w:ilvl w:val="0"/>
          <w:numId w:val="41"/>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具有环境保护类专业</w:t>
      </w:r>
      <w:r>
        <w:rPr>
          <w:rFonts w:hint="eastAsia" w:ascii="宋体" w:hAnsi="宋体" w:eastAsia="宋体" w:cs="宋体"/>
          <w:b w:val="0"/>
          <w:bCs w:val="0"/>
          <w:color w:val="auto"/>
          <w:sz w:val="21"/>
          <w:szCs w:val="21"/>
          <w:highlight w:val="none"/>
          <w:lang w:val="en-US" w:eastAsia="zh-CN"/>
        </w:rPr>
        <w:t xml:space="preserve">副</w:t>
      </w:r>
      <w:r>
        <w:rPr>
          <w:rFonts w:hint="eastAsia" w:ascii="宋体" w:hAnsi="宋体" w:eastAsia="宋体" w:cs="宋体"/>
          <w:b w:val="0"/>
          <w:bCs w:val="0"/>
          <w:color w:val="auto"/>
          <w:sz w:val="21"/>
          <w:szCs w:val="21"/>
          <w:highlight w:val="none"/>
        </w:rPr>
        <w:t xml:space="preserve">高级技术职称及以上</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具有环境保护类专业中级技术职称的得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numPr>
          <w:ilvl w:val="0"/>
          <w:numId w:val="41"/>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具有环境保护类专业</w:t>
      </w:r>
      <w:r>
        <w:rPr>
          <w:rFonts w:hint="eastAsia" w:ascii="宋体" w:hAnsi="宋体" w:cs="宋体"/>
          <w:b w:val="0"/>
          <w:bCs w:val="0"/>
          <w:color w:val="auto"/>
          <w:sz w:val="21"/>
          <w:szCs w:val="21"/>
          <w:highlight w:val="none"/>
          <w:lang w:val="en-US" w:eastAsia="zh-CN"/>
        </w:rPr>
        <w:t xml:space="preserve">硕士及以上</w:t>
      </w:r>
      <w:r>
        <w:rPr>
          <w:rFonts w:hint="eastAsia" w:ascii="宋体" w:hAnsi="宋体" w:eastAsia="宋体" w:cs="宋体"/>
          <w:b w:val="0"/>
          <w:bCs w:val="0"/>
          <w:color w:val="auto"/>
          <w:sz w:val="21"/>
          <w:szCs w:val="21"/>
          <w:highlight w:val="none"/>
          <w:lang w:val="zh-CN"/>
        </w:rPr>
        <w:t xml:space="preserve">学位</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具有环境保护类专业</w:t>
      </w:r>
      <w:r>
        <w:rPr>
          <w:rFonts w:hint="eastAsia" w:ascii="宋体" w:hAnsi="宋体" w:cs="宋体"/>
          <w:b w:val="0"/>
          <w:bCs w:val="0"/>
          <w:color w:val="auto"/>
          <w:sz w:val="21"/>
          <w:szCs w:val="21"/>
          <w:highlight w:val="none"/>
          <w:lang w:val="en-US" w:eastAsia="zh-CN"/>
        </w:rPr>
        <w:t xml:space="preserve">学士</w:t>
      </w:r>
      <w:r>
        <w:rPr>
          <w:rFonts w:hint="eastAsia" w:ascii="宋体" w:hAnsi="宋体" w:eastAsia="宋体" w:cs="宋体"/>
          <w:b w:val="0"/>
          <w:bCs w:val="0"/>
          <w:color w:val="auto"/>
          <w:sz w:val="21"/>
          <w:szCs w:val="21"/>
          <w:highlight w:val="none"/>
          <w:lang w:val="zh-CN"/>
        </w:rPr>
        <w:t xml:space="preserve">学位</w:t>
      </w:r>
      <w:r>
        <w:rPr>
          <w:rFonts w:hint="eastAsia" w:ascii="宋体" w:hAnsi="宋体" w:eastAsia="宋体" w:cs="宋体"/>
          <w:b w:val="0"/>
          <w:bCs w:val="0"/>
          <w:color w:val="auto"/>
          <w:sz w:val="21"/>
          <w:szCs w:val="21"/>
          <w:highlight w:val="none"/>
        </w:rPr>
        <w:t xml:space="preserve">的得1分</w:t>
      </w:r>
      <w:r>
        <w:rPr>
          <w:rFonts w:hint="eastAsia" w:ascii="宋体" w:hAnsi="宋体" w:eastAsia="宋体" w:cs="宋体"/>
          <w:b w:val="0"/>
          <w:bCs w:val="0"/>
          <w:color w:val="auto"/>
          <w:sz w:val="21"/>
          <w:szCs w:val="21"/>
          <w:highlight w:val="none"/>
          <w:lang w:eastAsia="zh-CN"/>
        </w:rPr>
        <w:t xml:space="preserve">。</w:t>
      </w:r>
      <w:r/>
    </w:p>
    <w:p>
      <w:pPr>
        <w:numPr>
          <w:ilvl w:val="0"/>
          <w:numId w:val="41"/>
        </w:numPr>
        <w:ind w:left="567" w:hanging="567"/>
        <w:keepLines w:val="0"/>
        <w:keepNext w:val="0"/>
        <w:pageBreakBefore w:val="0"/>
        <w:spacing w:line="400" w:lineRule="exact"/>
        <w:widowControl w:val="off"/>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具有注册环境影响评价工程师证书的得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分。</w:t>
      </w:r>
      <w:r/>
    </w:p>
    <w:p>
      <w:pPr>
        <w:numPr>
          <w:ilvl w:val="0"/>
          <w:numId w:val="39"/>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质控负责人</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p>
      <w:pPr>
        <w:numPr>
          <w:ilvl w:val="0"/>
          <w:numId w:val="42"/>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具有环境保护类专业</w:t>
      </w:r>
      <w:r>
        <w:rPr>
          <w:rFonts w:hint="eastAsia" w:ascii="宋体" w:hAnsi="宋体" w:eastAsia="宋体" w:cs="宋体"/>
          <w:b w:val="0"/>
          <w:bCs w:val="0"/>
          <w:color w:val="auto"/>
          <w:sz w:val="21"/>
          <w:szCs w:val="21"/>
          <w:highlight w:val="none"/>
          <w:lang w:val="en-US" w:eastAsia="zh-CN"/>
        </w:rPr>
        <w:t xml:space="preserve">副</w:t>
      </w:r>
      <w:r>
        <w:rPr>
          <w:rFonts w:hint="eastAsia" w:ascii="宋体" w:hAnsi="宋体" w:eastAsia="宋体" w:cs="宋体"/>
          <w:b w:val="0"/>
          <w:bCs w:val="0"/>
          <w:color w:val="auto"/>
          <w:sz w:val="21"/>
          <w:szCs w:val="21"/>
          <w:highlight w:val="none"/>
        </w:rPr>
        <w:t xml:space="preserve">高级技术职称及以上</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具有环境保护类专业中级技术职称的得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numPr>
          <w:ilvl w:val="0"/>
          <w:numId w:val="39"/>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项目组成员（除上述负责人）</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分）</w:t>
      </w:r>
      <w:r/>
    </w:p>
    <w:p>
      <w:pPr>
        <w:numPr>
          <w:ilvl w:val="0"/>
          <w:numId w:val="43"/>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zh-CN"/>
        </w:rPr>
        <w:t xml:space="preserve">具备本科及以上学历的，每人得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rPr>
        <w:t xml:space="preserve">分，</w:t>
      </w:r>
      <w:r>
        <w:rPr>
          <w:rFonts w:hint="eastAsia" w:ascii="宋体" w:hAnsi="宋体" w:eastAsia="宋体" w:cs="宋体"/>
          <w:b w:val="0"/>
          <w:bCs w:val="0"/>
          <w:color w:val="auto"/>
          <w:sz w:val="21"/>
          <w:szCs w:val="21"/>
          <w:highlight w:val="none"/>
          <w:lang w:val="en-US" w:eastAsia="zh-CN"/>
        </w:rPr>
        <w:t xml:space="preserve">最高得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分。</w:t>
      </w:r>
      <w:r/>
    </w:p>
    <w:p>
      <w:pPr>
        <w:numPr>
          <w:ilvl w:val="0"/>
          <w:numId w:val="43"/>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zh-CN"/>
        </w:rPr>
        <w:t xml:space="preserve">具备</w:t>
      </w:r>
      <w:r>
        <w:rPr>
          <w:rFonts w:hint="eastAsia" w:ascii="宋体" w:hAnsi="宋体" w:eastAsia="宋体" w:cs="宋体"/>
          <w:b w:val="0"/>
          <w:bCs w:val="0"/>
          <w:color w:val="auto"/>
          <w:sz w:val="21"/>
          <w:szCs w:val="21"/>
          <w:highlight w:val="none"/>
          <w:lang w:val="en-US" w:eastAsia="zh-CN"/>
        </w:rPr>
        <w:t xml:space="preserve">副</w:t>
      </w:r>
      <w:r>
        <w:rPr>
          <w:rFonts w:hint="eastAsia" w:ascii="宋体" w:hAnsi="宋体" w:eastAsia="宋体" w:cs="宋体"/>
          <w:b w:val="0"/>
          <w:bCs w:val="0"/>
          <w:color w:val="auto"/>
          <w:sz w:val="21"/>
          <w:szCs w:val="21"/>
          <w:highlight w:val="none"/>
        </w:rPr>
        <w:t xml:space="preserve">高级技术职称及以上</w:t>
      </w:r>
      <w:r>
        <w:rPr>
          <w:rFonts w:hint="eastAsia" w:ascii="宋体" w:hAnsi="宋体" w:eastAsia="宋体" w:cs="宋体"/>
          <w:b w:val="0"/>
          <w:bCs w:val="0"/>
          <w:color w:val="auto"/>
          <w:sz w:val="21"/>
          <w:szCs w:val="21"/>
          <w:highlight w:val="none"/>
          <w:lang w:val="en-US" w:eastAsia="zh-CN"/>
        </w:rPr>
        <w:t xml:space="preserve">的每人得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中级技术职称的</w:t>
      </w:r>
      <w:r>
        <w:rPr>
          <w:rFonts w:hint="eastAsia" w:ascii="宋体" w:hAnsi="宋体" w:eastAsia="宋体" w:cs="宋体"/>
          <w:b w:val="0"/>
          <w:bCs w:val="0"/>
          <w:color w:val="auto"/>
          <w:sz w:val="21"/>
          <w:szCs w:val="21"/>
          <w:highlight w:val="none"/>
          <w:lang w:val="en-US" w:eastAsia="zh-CN"/>
        </w:rPr>
        <w:t xml:space="preserve">每人</w:t>
      </w:r>
      <w:r>
        <w:rPr>
          <w:rFonts w:hint="eastAsia" w:ascii="宋体" w:hAnsi="宋体" w:eastAsia="宋体" w:cs="宋体"/>
          <w:b w:val="0"/>
          <w:bCs w:val="0"/>
          <w:color w:val="auto"/>
          <w:sz w:val="21"/>
          <w:szCs w:val="21"/>
          <w:highlight w:val="none"/>
        </w:rPr>
        <w:t xml:space="preserve">得1分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本项最高得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w:t>
      </w:r>
      <w:r/>
    </w:p>
    <w:p>
      <w:pPr>
        <w:ind w:left="426" w:hanging="426"/>
        <w:keepLines w:val="0"/>
        <w:keepNext w:val="0"/>
        <w:pageBreakBefore w:val="0"/>
        <w:spacing w:line="400" w:lineRule="exact"/>
        <w:widowControl w:val="off"/>
        <w:tabs>
          <w:tab w:val="left" w:pos="420" w:leader="none"/>
        </w:tabs>
        <w:rPr>
          <w:rFonts w:cs="宋体"/>
          <w:color w:val="auto"/>
          <w:highlight w:val="none"/>
        </w:rPr>
      </w:pPr>
      <w:r>
        <w:rPr>
          <w:rFonts w:hint="eastAsia" w:cs="宋体"/>
          <w:color w:val="auto"/>
          <w:highlight w:val="none"/>
        </w:rPr>
        <w:t xml:space="preserve">注：</w:t>
      </w:r>
      <w:r>
        <w:rPr>
          <w:rFonts w:hint="eastAsia" w:cs="宋体"/>
          <w:color w:val="auto"/>
          <w:highlight w:val="none"/>
          <w:lang w:val="en-US" w:eastAsia="zh-CN"/>
        </w:rPr>
        <w:t xml:space="preserve">响应</w:t>
      </w:r>
      <w:r>
        <w:rPr>
          <w:rFonts w:hint="eastAsia" w:cs="宋体"/>
          <w:color w:val="auto"/>
          <w:highlight w:val="none"/>
        </w:rPr>
        <w:t xml:space="preserve">文件中须提供</w:t>
      </w:r>
      <w:r>
        <w:rPr>
          <w:rFonts w:hint="eastAsia" w:cs="宋体"/>
          <w:color w:val="auto"/>
          <w:highlight w:val="none"/>
          <w:lang w:val="en-US" w:eastAsia="zh-CN"/>
        </w:rPr>
        <w:t xml:space="preserve">上述1-4项</w:t>
      </w:r>
      <w:r>
        <w:rPr>
          <w:rFonts w:hint="eastAsia" w:cs="宋体"/>
          <w:color w:val="auto"/>
          <w:highlight w:val="none"/>
        </w:rPr>
        <w:t xml:space="preserve">人员相应证书</w:t>
      </w:r>
      <w:r>
        <w:rPr>
          <w:rFonts w:hint="eastAsia" w:cs="宋体"/>
          <w:color w:val="auto"/>
          <w:highlight w:val="none"/>
          <w:lang w:val="en-US" w:eastAsia="zh-CN"/>
        </w:rPr>
        <w:t xml:space="preserve">证明材料以及响应单位为</w:t>
      </w:r>
      <w:r>
        <w:rPr>
          <w:rFonts w:hint="eastAsia" w:cs="宋体"/>
          <w:color w:val="auto"/>
          <w:highlight w:val="none"/>
        </w:rPr>
        <w:t xml:space="preserve">上述人员缴纳的</w:t>
      </w:r>
      <w:r>
        <w:rPr>
          <w:rFonts w:hint="eastAsia" w:cs="宋体"/>
          <w:color w:val="auto"/>
          <w:highlight w:val="none"/>
          <w:lang w:val="en-US" w:eastAsia="zh-CN"/>
        </w:rPr>
        <w:t xml:space="preserve">最近一期</w:t>
      </w:r>
      <w:r>
        <w:rPr>
          <w:rFonts w:hint="eastAsia" w:cs="宋体"/>
          <w:color w:val="auto"/>
          <w:highlight w:val="none"/>
        </w:rPr>
        <w:t xml:space="preserve">社保证明或有效股东注册</w:t>
      </w:r>
      <w:r>
        <w:rPr>
          <w:rFonts w:hint="eastAsia" w:cs="宋体"/>
          <w:color w:val="auto"/>
          <w:highlight w:val="none"/>
          <w:lang w:val="en-US" w:eastAsia="zh-CN"/>
        </w:rPr>
        <w:t xml:space="preserve">关系</w:t>
      </w:r>
      <w:r>
        <w:rPr>
          <w:rFonts w:hint="eastAsia" w:cs="宋体"/>
          <w:color w:val="auto"/>
          <w:highlight w:val="none"/>
        </w:rPr>
        <w:t xml:space="preserve">证明</w:t>
      </w:r>
      <w:r>
        <w:rPr>
          <w:rFonts w:hint="eastAsia" w:cs="宋体"/>
          <w:color w:val="auto"/>
          <w:highlight w:val="none"/>
          <w:lang w:val="en-US" w:eastAsia="zh-CN"/>
        </w:rPr>
        <w:t xml:space="preserve">材料</w:t>
      </w:r>
      <w:r>
        <w:rPr>
          <w:rFonts w:hint="eastAsia" w:cs="宋体"/>
          <w:color w:val="auto"/>
          <w:highlight w:val="none"/>
        </w:rPr>
        <w:t xml:space="preserve">（退休人员除外），否则不得分。</w:t>
      </w:r>
      <w:r/>
    </w:p>
    <w:p>
      <w:pPr>
        <w:numPr>
          <w:ilvl w:val="0"/>
          <w:numId w:val="35"/>
        </w:numPr>
        <w:keepLines w:val="0"/>
        <w:keepNext w:val="0"/>
        <w:pageBreakBefore w:val="0"/>
        <w:spacing w:line="400" w:lineRule="exact"/>
        <w:widowControl w:val="off"/>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响应单位综合能力（6分）</w:t>
      </w:r>
      <w:r/>
    </w:p>
    <w:p>
      <w:pPr>
        <w:numPr>
          <w:ilvl w:val="0"/>
          <w:numId w:val="44"/>
        </w:numPr>
        <w:ind w:left="567"/>
        <w:keepLines w:val="0"/>
        <w:keepNext w:val="0"/>
        <w:pageBreakBefore w:val="0"/>
        <w:spacing w:line="400" w:lineRule="exact"/>
        <w:widowControl w:val="off"/>
        <w:tabs>
          <w:tab w:val="left" w:pos="840"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类似项目业绩情况(</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contextualSpacing/>
        <w:ind w:left="567" w:firstLine="0"/>
        <w:keepLines w:val="0"/>
        <w:keepNext w:val="0"/>
        <w:pageBreakBefore w:val="0"/>
        <w:spacing w:line="400" w:lineRule="exact"/>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202</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年以来（以合同签订时间为准）承担过类似项目业绩</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rPr>
        <w:t xml:space="preserve">，每个得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分。提供</w:t>
      </w:r>
      <w:r>
        <w:rPr>
          <w:rFonts w:hint="eastAsia" w:ascii="宋体" w:hAnsi="宋体" w:eastAsia="宋体" w:cs="宋体"/>
          <w:b w:val="0"/>
          <w:bCs w:val="0"/>
          <w:color w:val="auto"/>
          <w:sz w:val="21"/>
          <w:szCs w:val="21"/>
          <w:highlight w:val="none"/>
          <w:lang w:val="en-US" w:eastAsia="zh-CN"/>
        </w:rPr>
        <w:t xml:space="preserve">业绩</w:t>
      </w:r>
      <w:r>
        <w:rPr>
          <w:rFonts w:hint="eastAsia" w:ascii="宋体" w:hAnsi="宋体" w:eastAsia="宋体" w:cs="宋体"/>
          <w:b w:val="0"/>
          <w:bCs w:val="0"/>
          <w:color w:val="auto"/>
          <w:sz w:val="21"/>
          <w:szCs w:val="21"/>
          <w:highlight w:val="none"/>
        </w:rPr>
        <w:t xml:space="preserve">合同复印件，否则不得分。</w:t>
      </w:r>
      <w:r/>
    </w:p>
    <w:p>
      <w:pPr>
        <w:pStyle w:val="98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br w:type="page" w:clear="all"/>
      </w:r>
      <w:r/>
    </w:p>
    <w:p>
      <w:pPr>
        <w:pStyle w:val="963"/>
        <w:ind w:left="0" w:firstLine="0"/>
        <w:jc w:val="center"/>
        <w:keepLines w:val="0"/>
        <w:keepNext w:val="0"/>
        <w:pageBreakBefore w:val="0"/>
        <w:spacing w:line="40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szCs w:val="21"/>
          <w:highlight w:val="none"/>
          <w:lang w:val="en-US" w:eastAsia="zh-CN"/>
        </w:rPr>
        <w:t xml:space="preserve">二标段</w:t>
      </w:r>
      <w:r/>
    </w:p>
    <w:p>
      <w:pPr>
        <w:numPr>
          <w:ilvl w:val="0"/>
          <w:numId w:val="45"/>
        </w:numPr>
        <w:keepLines w:val="0"/>
        <w:keepNext w:val="0"/>
        <w:pageBreakBefore w:val="0"/>
        <w:spacing w:line="40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价格分（10分）</w:t>
      </w:r>
      <w:r/>
    </w:p>
    <w:p>
      <w:pPr>
        <w:numPr>
          <w:ilvl w:val="0"/>
          <w:numId w:val="46"/>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磋商报价在磋商文件规定的范围内为有效报价。超出此范围的报价为无效报价。无效磋商报价的响应文件不进行评审，也不得标。</w:t>
      </w:r>
      <w:r/>
    </w:p>
    <w:p>
      <w:pPr>
        <w:numPr>
          <w:ilvl w:val="0"/>
          <w:numId w:val="46"/>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价格得分计算方法：根据各响应单位通过符合性审查的有效磋商报价中的最低价作为评审基准价，其价格分为满分。</w:t>
      </w:r>
      <w:r/>
    </w:p>
    <w:p>
      <w:pPr>
        <w:numPr>
          <w:ilvl w:val="0"/>
          <w:numId w:val="46"/>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其他响应单位的价格分统一按照下列公式计算：</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磋商报价得分=（评审基准价/磋商报价）×价格权值×100（本次磋商报价权值为10%）（保留小数点后二位）。</w:t>
      </w:r>
      <w:r/>
    </w:p>
    <w:p>
      <w:pPr>
        <w:numPr>
          <w:ilvl w:val="0"/>
          <w:numId w:val="45"/>
        </w:numPr>
        <w:keepLines w:val="0"/>
        <w:keepNext w:val="0"/>
        <w:pageBreakBefore w:val="0"/>
        <w:spacing w:line="40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技术方案</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水平</w:t>
      </w:r>
      <w:r>
        <w:rPr>
          <w:rFonts w:hint="eastAsia" w:ascii="宋体" w:hAnsi="宋体" w:eastAsia="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50</w:t>
      </w:r>
      <w:r>
        <w:rPr>
          <w:rFonts w:hint="eastAsia" w:ascii="宋体" w:hAnsi="宋体" w:eastAsia="宋体" w:cs="宋体"/>
          <w:b/>
          <w:color w:val="auto"/>
          <w:szCs w:val="21"/>
          <w:highlight w:val="none"/>
        </w:rPr>
        <w:t xml:space="preserve">分</w:t>
      </w:r>
      <w:r>
        <w:rPr>
          <w:rFonts w:hint="eastAsia" w:ascii="宋体" w:hAnsi="宋体" w:eastAsia="宋体" w:cs="宋体"/>
          <w:b/>
          <w:color w:val="auto"/>
          <w:szCs w:val="21"/>
          <w:highlight w:val="none"/>
          <w:lang w:eastAsia="zh-CN"/>
        </w:rPr>
        <w:t xml:space="preserve">）</w:t>
      </w:r>
      <w:r/>
    </w:p>
    <w:p>
      <w:pPr>
        <w:numPr>
          <w:ilvl w:val="0"/>
          <w:numId w:val="47"/>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color w:val="auto"/>
          <w:spacing w:val="0"/>
          <w:sz w:val="21"/>
          <w:szCs w:val="21"/>
          <w:highlight w:val="none"/>
        </w:rPr>
        <w:outlineLvl w:val="9"/>
      </w:pPr>
      <w:r>
        <w:rPr>
          <w:rFonts w:hint="eastAsia" w:ascii="宋体" w:hAnsi="宋体" w:eastAsia="宋体" w:cs="宋体"/>
          <w:color w:val="auto"/>
          <w:spacing w:val="0"/>
          <w:sz w:val="21"/>
          <w:szCs w:val="21"/>
          <w:highlight w:val="none"/>
        </w:rPr>
        <w:t xml:space="preserve">空气质量研判分析方案</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0</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供应商针对本项目提出的空气质量数据研判、污染成因分析、管控策略制定等方案。</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方案科学合理、措施得力、针对性强、可行性高得1</w:t>
      </w:r>
      <w:r>
        <w:rPr>
          <w:rFonts w:hint="eastAsia" w:ascii="宋体" w:hAnsi="宋体" w:eastAsia="宋体" w:cs="宋体"/>
          <w:color w:val="auto"/>
          <w:szCs w:val="21"/>
          <w:highlight w:val="none"/>
          <w:lang w:val="en-US" w:eastAsia="zh-CN"/>
        </w:rPr>
        <w:t xml:space="preserve">0</w:t>
      </w:r>
      <w:r>
        <w:rPr>
          <w:rFonts w:hint="default"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方案较合理、措施可行、有针对性得7分；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方案</w:t>
      </w:r>
      <w:r>
        <w:rPr>
          <w:rFonts w:hint="eastAsia" w:ascii="宋体" w:hAnsi="宋体" w:eastAsia="宋体" w:cs="宋体"/>
          <w:color w:val="auto"/>
          <w:szCs w:val="21"/>
          <w:highlight w:val="none"/>
          <w:lang w:val="en-US" w:eastAsia="zh-CN"/>
        </w:rPr>
        <w:t xml:space="preserve">基本</w:t>
      </w:r>
      <w:r>
        <w:rPr>
          <w:rFonts w:hint="default" w:ascii="宋体" w:hAnsi="宋体" w:eastAsia="宋体" w:cs="宋体"/>
          <w:color w:val="auto"/>
          <w:szCs w:val="21"/>
          <w:highlight w:val="none"/>
        </w:rPr>
        <w:t xml:space="preserve">合理、针对性及可行性一般得</w:t>
      </w:r>
      <w:r>
        <w:rPr>
          <w:rFonts w:hint="eastAsia" w:ascii="宋体" w:hAnsi="宋体" w:eastAsia="宋体" w:cs="宋体"/>
          <w:color w:val="auto"/>
          <w:szCs w:val="21"/>
          <w:highlight w:val="none"/>
          <w:lang w:val="en-US" w:eastAsia="zh-CN"/>
        </w:rPr>
        <w:t xml:space="preserve">4</w:t>
      </w:r>
      <w:r>
        <w:rPr>
          <w:rFonts w:hint="default"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方案措施不</w:t>
      </w:r>
      <w:r>
        <w:rPr>
          <w:rFonts w:hint="eastAsia" w:ascii="宋体" w:hAnsi="宋体" w:eastAsia="宋体" w:cs="宋体"/>
          <w:color w:val="auto"/>
          <w:szCs w:val="21"/>
          <w:highlight w:val="none"/>
          <w:lang w:val="en-US" w:eastAsia="zh-CN"/>
        </w:rPr>
        <w:t xml:space="preserve">太</w:t>
      </w:r>
      <w:r>
        <w:rPr>
          <w:rFonts w:hint="default" w:ascii="宋体" w:hAnsi="宋体" w:eastAsia="宋体" w:cs="宋体"/>
          <w:color w:val="auto"/>
          <w:szCs w:val="21"/>
          <w:highlight w:val="none"/>
        </w:rPr>
        <w:t xml:space="preserve">合理、要点缺失、</w:t>
      </w:r>
      <w:r>
        <w:rPr>
          <w:rFonts w:hint="eastAsia" w:ascii="宋体" w:hAnsi="宋体" w:eastAsia="宋体" w:cs="宋体"/>
          <w:color w:val="auto"/>
          <w:szCs w:val="21"/>
          <w:highlight w:val="none"/>
          <w:lang w:val="en-US" w:eastAsia="zh-CN"/>
        </w:rPr>
        <w:t xml:space="preserve">不太可行</w:t>
      </w:r>
      <w:r>
        <w:rPr>
          <w:rFonts w:hint="default"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1</w:t>
      </w:r>
      <w:r>
        <w:rPr>
          <w:rFonts w:hint="default"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default" w:ascii="宋体" w:hAnsi="宋体" w:eastAsia="宋体" w:cs="宋体"/>
          <w:color w:val="auto"/>
          <w:szCs w:val="21"/>
          <w:highlight w:val="none"/>
        </w:rPr>
        <w:t xml:space="preserve">不提供不得分。</w:t>
      </w:r>
      <w:r/>
    </w:p>
    <w:p>
      <w:pPr>
        <w:numPr>
          <w:ilvl w:val="0"/>
          <w:numId w:val="47"/>
        </w:numPr>
        <w:keepLines w:val="0"/>
        <w:keepNext w:val="0"/>
        <w:pageBreakBefore w:val="0"/>
        <w:spacing w:line="400" w:lineRule="exact"/>
        <w:widowControl w:val="off"/>
        <w:tabs>
          <w:tab w:val="left" w:pos="840" w:leader="none"/>
          <w:tab w:val="left" w:pos="2870" w:leader="none"/>
        </w:tabs>
        <w:rPr>
          <w:rFonts w:hint="default" w:ascii="宋体" w:hAnsi="宋体" w:eastAsia="宋体" w:cs="宋体"/>
          <w:color w:val="auto"/>
          <w:spacing w:val="0"/>
          <w:sz w:val="21"/>
          <w:szCs w:val="21"/>
          <w:highlight w:val="none"/>
        </w:rPr>
        <w:outlineLvl w:val="9"/>
      </w:pPr>
      <w:r>
        <w:rPr>
          <w:rFonts w:hint="default" w:ascii="宋体" w:hAnsi="宋体" w:eastAsia="宋体" w:cs="宋体"/>
          <w:color w:val="auto"/>
          <w:spacing w:val="0"/>
          <w:sz w:val="21"/>
          <w:szCs w:val="21"/>
          <w:highlight w:val="none"/>
        </w:rPr>
        <w:t xml:space="preserve">走航监测服务方案</w:t>
      </w:r>
      <w:r>
        <w:rPr>
          <w:rFonts w:hint="eastAsia" w:ascii="宋体" w:hAnsi="宋体" w:eastAsia="宋体" w:cs="宋体"/>
          <w:color w:val="auto"/>
          <w:spacing w:val="0"/>
          <w:sz w:val="21"/>
          <w:szCs w:val="21"/>
          <w:highlight w:val="none"/>
          <w:lang w:eastAsia="zh-CN"/>
        </w:rPr>
        <w:t xml:space="preserve">（</w:t>
      </w:r>
      <w:r>
        <w:rPr>
          <w:rFonts w:hint="default"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0</w:t>
      </w:r>
      <w:r>
        <w:rPr>
          <w:rFonts w:hint="default"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供应商针对本项目提出的走航监测服务方案，应至少包含应急走航响应流程、高值区域排查方法、积尘走航实施计划</w:t>
      </w:r>
      <w:r>
        <w:rPr>
          <w:rFonts w:hint="eastAsia" w:ascii="宋体" w:hAnsi="宋体" w:eastAsia="宋体" w:cs="宋体"/>
          <w:color w:val="auto"/>
          <w:szCs w:val="21"/>
          <w:highlight w:val="none"/>
          <w:lang w:val="en-US" w:eastAsia="zh-CN"/>
        </w:rPr>
        <w:t xml:space="preserve">方案</w:t>
      </w:r>
      <w:r>
        <w:rPr>
          <w:rFonts w:hint="default" w:ascii="宋体" w:hAnsi="宋体" w:eastAsia="宋体" w:cs="宋体"/>
          <w:color w:val="auto"/>
          <w:szCs w:val="21"/>
          <w:highlight w:val="none"/>
        </w:rPr>
        <w:t xml:space="preserve">。</w:t>
      </w:r>
      <w:r>
        <w:rPr>
          <w:rFonts w:hint="default" w:ascii="宋体" w:hAnsi="宋体" w:eastAsia="宋体" w:cs="宋体"/>
          <w:color w:val="auto"/>
          <w:szCs w:val="21"/>
          <w:highlight w:val="none"/>
        </w:rPr>
        <w:br/>
      </w:r>
      <w:r>
        <w:rPr>
          <w:rFonts w:hint="default" w:ascii="宋体" w:hAnsi="宋体" w:eastAsia="宋体" w:cs="宋体"/>
          <w:color w:val="auto"/>
          <w:szCs w:val="21"/>
          <w:highlight w:val="none"/>
        </w:rPr>
        <w:t xml:space="preserve">方案内容全面、科学合理、可行针对性强得1</w:t>
      </w:r>
      <w:r>
        <w:rPr>
          <w:rFonts w:hint="eastAsia" w:ascii="宋体" w:hAnsi="宋体" w:eastAsia="宋体" w:cs="宋体"/>
          <w:color w:val="auto"/>
          <w:szCs w:val="21"/>
          <w:highlight w:val="none"/>
          <w:lang w:val="en-US" w:eastAsia="zh-CN"/>
        </w:rPr>
        <w:t xml:space="preserve">0</w:t>
      </w:r>
      <w:r>
        <w:rPr>
          <w:rFonts w:hint="default"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方案较合理、措施可行、有针对性得7分；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方案</w:t>
      </w:r>
      <w:r>
        <w:rPr>
          <w:rFonts w:hint="eastAsia" w:ascii="宋体" w:hAnsi="宋体" w:eastAsia="宋体" w:cs="宋体"/>
          <w:color w:val="auto"/>
          <w:szCs w:val="21"/>
          <w:highlight w:val="none"/>
          <w:lang w:val="en-US" w:eastAsia="zh-CN"/>
        </w:rPr>
        <w:t xml:space="preserve">基本</w:t>
      </w:r>
      <w:r>
        <w:rPr>
          <w:rFonts w:hint="default" w:ascii="宋体" w:hAnsi="宋体" w:eastAsia="宋体" w:cs="宋体"/>
          <w:color w:val="auto"/>
          <w:szCs w:val="21"/>
          <w:highlight w:val="none"/>
        </w:rPr>
        <w:t xml:space="preserve">合理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措施基本</w:t>
      </w:r>
      <w:r>
        <w:rPr>
          <w:rFonts w:hint="default" w:ascii="宋体" w:hAnsi="宋体" w:eastAsia="宋体" w:cs="宋体"/>
          <w:color w:val="auto"/>
          <w:szCs w:val="21"/>
          <w:highlight w:val="none"/>
        </w:rPr>
        <w:t xml:space="preserve">可行，</w:t>
      </w:r>
      <w:r>
        <w:rPr>
          <w:rFonts w:hint="eastAsia" w:ascii="宋体" w:hAnsi="宋体" w:eastAsia="宋体" w:cs="宋体"/>
          <w:color w:val="auto"/>
          <w:szCs w:val="21"/>
          <w:highlight w:val="none"/>
          <w:lang w:val="en-US" w:eastAsia="zh-CN"/>
        </w:rPr>
        <w:t xml:space="preserve">有一定</w:t>
      </w:r>
      <w:r>
        <w:rPr>
          <w:rFonts w:hint="default" w:ascii="宋体" w:hAnsi="宋体" w:eastAsia="宋体" w:cs="宋体"/>
          <w:color w:val="auto"/>
          <w:szCs w:val="21"/>
          <w:highlight w:val="none"/>
        </w:rPr>
        <w:t xml:space="preserve">针对性得</w:t>
      </w:r>
      <w:r>
        <w:rPr>
          <w:rFonts w:hint="eastAsia" w:ascii="宋体" w:hAnsi="宋体" w:eastAsia="宋体" w:cs="宋体"/>
          <w:color w:val="auto"/>
          <w:szCs w:val="21"/>
          <w:highlight w:val="none"/>
          <w:lang w:val="en-US" w:eastAsia="zh-CN"/>
        </w:rPr>
        <w:t xml:space="preserve">4</w:t>
      </w:r>
      <w:r>
        <w:rPr>
          <w:rFonts w:hint="default"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方案简单，</w:t>
      </w:r>
      <w:r>
        <w:rPr>
          <w:rFonts w:hint="eastAsia" w:ascii="宋体" w:hAnsi="宋体" w:eastAsia="宋体" w:cs="宋体"/>
          <w:color w:val="auto"/>
          <w:szCs w:val="21"/>
          <w:highlight w:val="none"/>
          <w:lang w:val="en-US" w:eastAsia="zh-CN"/>
        </w:rPr>
        <w:t xml:space="preserve">不太可行</w:t>
      </w:r>
      <w:r>
        <w:rPr>
          <w:rFonts w:hint="default"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1</w:t>
      </w:r>
      <w:r>
        <w:rPr>
          <w:rFonts w:hint="default"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不提供不得分。</w:t>
      </w:r>
      <w:r/>
    </w:p>
    <w:p>
      <w:pPr>
        <w:numPr>
          <w:ilvl w:val="0"/>
          <w:numId w:val="47"/>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color w:val="auto"/>
          <w:spacing w:val="0"/>
          <w:sz w:val="21"/>
          <w:szCs w:val="21"/>
          <w:highlight w:val="none"/>
        </w:rPr>
        <w:outlineLvl w:val="9"/>
      </w:pPr>
      <w:r>
        <w:rPr>
          <w:rFonts w:hint="eastAsia" w:ascii="宋体" w:hAnsi="宋体" w:eastAsia="宋体" w:cs="宋体"/>
          <w:color w:val="auto"/>
          <w:spacing w:val="0"/>
          <w:sz w:val="21"/>
          <w:szCs w:val="21"/>
          <w:highlight w:val="none"/>
        </w:rPr>
        <w:t xml:space="preserve">数据分析和报告编制方案</w:t>
      </w:r>
      <w:r>
        <w:rPr>
          <w:rFonts w:hint="eastAsia" w:ascii="宋体" w:hAnsi="宋体" w:eastAsia="宋体" w:cs="宋体"/>
          <w:color w:val="auto"/>
          <w:spacing w:val="0"/>
          <w:sz w:val="21"/>
          <w:szCs w:val="21"/>
          <w:highlight w:val="none"/>
          <w:lang w:eastAsia="zh-CN"/>
        </w:rPr>
        <w:t xml:space="preserve">（</w:t>
      </w:r>
      <w:r>
        <w:rPr>
          <w:rFonts w:hint="default"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0</w:t>
      </w:r>
      <w:r>
        <w:rPr>
          <w:rFonts w:hint="default"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contextualSpacing/>
        <w:ind w:left="567" w:firstLine="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数据分析方案完整、合理，报告编制流程科学、规范、切实可行，完全贴合采购需求的得</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lang w:val="en-US" w:eastAsia="zh-CN"/>
        </w:rPr>
        <w:t xml:space="preserve">分；</w:t>
      </w:r>
      <w:r/>
    </w:p>
    <w:p>
      <w:pPr>
        <w:contextualSpacing/>
        <w:ind w:left="567" w:firstLine="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方案较</w:t>
      </w:r>
      <w:r>
        <w:rPr>
          <w:rFonts w:hint="eastAsia" w:ascii="宋体" w:hAnsi="宋体" w:eastAsia="宋体" w:cs="宋体"/>
          <w:color w:val="auto"/>
          <w:sz w:val="21"/>
          <w:szCs w:val="21"/>
          <w:highlight w:val="none"/>
          <w:lang w:val="en-US" w:eastAsia="zh-CN"/>
        </w:rPr>
        <w:t xml:space="preserve">合理</w:t>
      </w:r>
      <w:r>
        <w:rPr>
          <w:rFonts w:hint="eastAsia" w:ascii="宋体" w:hAnsi="宋体" w:eastAsia="宋体" w:cs="宋体"/>
          <w:bCs/>
          <w:color w:val="auto"/>
          <w:sz w:val="21"/>
          <w:szCs w:val="21"/>
          <w:highlight w:val="none"/>
          <w:lang w:val="en-US" w:eastAsia="zh-CN"/>
        </w:rPr>
        <w:t xml:space="preserve">，报告编制流程较规范、较可行、基本有针对性，符合采购需求的得</w:t>
      </w: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val="en-US" w:eastAsia="zh-CN"/>
        </w:rPr>
        <w:t xml:space="preserve">分；</w:t>
      </w:r>
      <w:r/>
    </w:p>
    <w:p>
      <w:pPr>
        <w:contextualSpacing/>
        <w:ind w:left="567" w:firstLine="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方案基本合理、报告编制流程基本可行，基本满足采购需求的得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w:t>
      </w:r>
      <w:r/>
    </w:p>
    <w:p>
      <w:pPr>
        <w:contextualSpacing/>
        <w:ind w:left="567" w:firstLine="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方案不太合理、不太可行的得1分；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不提供不得分。</w:t>
      </w:r>
      <w:r/>
    </w:p>
    <w:p>
      <w:pPr>
        <w:numPr>
          <w:ilvl w:val="0"/>
          <w:numId w:val="47"/>
        </w:numPr>
        <w:keepLines w:val="0"/>
        <w:keepNext w:val="0"/>
        <w:pageBreakBefore w:val="0"/>
        <w:spacing w:line="400" w:lineRule="exact"/>
        <w:widowControl w:val="off"/>
        <w:tabs>
          <w:tab w:val="left" w:pos="840" w:leader="none"/>
          <w:tab w:val="left" w:pos="2870" w:leader="none"/>
        </w:tabs>
        <w:rPr>
          <w:rFonts w:hint="default" w:ascii="宋体" w:hAnsi="宋体" w:eastAsia="宋体" w:cs="宋体"/>
          <w:color w:val="auto"/>
          <w:spacing w:val="0"/>
          <w:sz w:val="21"/>
          <w:szCs w:val="21"/>
          <w:highlight w:val="none"/>
        </w:rPr>
        <w:outlineLvl w:val="9"/>
      </w:pPr>
      <w:r>
        <w:rPr>
          <w:rFonts w:hint="default" w:ascii="宋体" w:hAnsi="宋体" w:eastAsia="宋体" w:cs="宋体"/>
          <w:color w:val="auto"/>
          <w:spacing w:val="0"/>
          <w:sz w:val="21"/>
          <w:szCs w:val="21"/>
          <w:highlight w:val="none"/>
        </w:rPr>
        <w:t xml:space="preserve">应急响应方案</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10</w:t>
      </w:r>
      <w:r>
        <w:rPr>
          <w:rFonts w:hint="default"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供应商应针对本项目提出应急响应方案，综合运用走航监测、便携设备排查等手段对污染高值进行快速溯源。方案至少应包含：应急组织措施、1小时内抵达现场的保障措施、应急实施计划及应急保障方案。</w:t>
      </w:r>
      <w:r>
        <w:rPr>
          <w:rFonts w:hint="default" w:ascii="宋体" w:hAnsi="宋体" w:eastAsia="宋体" w:cs="宋体"/>
          <w:color w:val="auto"/>
          <w:szCs w:val="21"/>
          <w:highlight w:val="none"/>
        </w:rPr>
        <w:br/>
      </w:r>
      <w:r>
        <w:rPr>
          <w:rFonts w:hint="default" w:ascii="宋体" w:hAnsi="宋体" w:eastAsia="宋体" w:cs="宋体"/>
          <w:color w:val="auto"/>
          <w:szCs w:val="21"/>
          <w:highlight w:val="none"/>
        </w:rPr>
        <w:t xml:space="preserve">方案科学合理、措施得力、针对性强、可行性高得1</w:t>
      </w:r>
      <w:r>
        <w:rPr>
          <w:rFonts w:hint="eastAsia" w:ascii="宋体" w:hAnsi="宋体" w:eastAsia="宋体" w:cs="宋体"/>
          <w:color w:val="auto"/>
          <w:szCs w:val="21"/>
          <w:highlight w:val="none"/>
          <w:lang w:val="en-US" w:eastAsia="zh-CN"/>
        </w:rPr>
        <w:t xml:space="preserve">0</w:t>
      </w:r>
      <w:r>
        <w:rPr>
          <w:rFonts w:hint="default"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方案较合理、措施可行、有针对性得7分；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方案</w:t>
      </w:r>
      <w:r>
        <w:rPr>
          <w:rFonts w:hint="eastAsia" w:ascii="宋体" w:hAnsi="宋体" w:eastAsia="宋体" w:cs="宋体"/>
          <w:color w:val="auto"/>
          <w:szCs w:val="21"/>
          <w:highlight w:val="none"/>
          <w:lang w:val="en-US" w:eastAsia="zh-CN"/>
        </w:rPr>
        <w:t xml:space="preserve">基本</w:t>
      </w:r>
      <w:r>
        <w:rPr>
          <w:rFonts w:hint="default" w:ascii="宋体" w:hAnsi="宋体" w:eastAsia="宋体" w:cs="宋体"/>
          <w:color w:val="auto"/>
          <w:szCs w:val="21"/>
          <w:highlight w:val="none"/>
        </w:rPr>
        <w:t xml:space="preserve">合理、针对性及可行性一般得</w:t>
      </w:r>
      <w:r>
        <w:rPr>
          <w:rFonts w:hint="eastAsia" w:ascii="宋体" w:hAnsi="宋体" w:eastAsia="宋体" w:cs="宋体"/>
          <w:color w:val="auto"/>
          <w:szCs w:val="21"/>
          <w:highlight w:val="none"/>
          <w:lang w:val="en-US" w:eastAsia="zh-CN"/>
        </w:rPr>
        <w:t xml:space="preserve">4</w:t>
      </w:r>
      <w:r>
        <w:rPr>
          <w:rFonts w:hint="default"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方案措施不</w:t>
      </w:r>
      <w:r>
        <w:rPr>
          <w:rFonts w:hint="eastAsia" w:ascii="宋体" w:hAnsi="宋体" w:eastAsia="宋体" w:cs="宋体"/>
          <w:color w:val="auto"/>
          <w:szCs w:val="21"/>
          <w:highlight w:val="none"/>
          <w:lang w:val="en-US" w:eastAsia="zh-CN"/>
        </w:rPr>
        <w:t xml:space="preserve">太</w:t>
      </w:r>
      <w:r>
        <w:rPr>
          <w:rFonts w:hint="default" w:ascii="宋体" w:hAnsi="宋体" w:eastAsia="宋体" w:cs="宋体"/>
          <w:color w:val="auto"/>
          <w:szCs w:val="21"/>
          <w:highlight w:val="none"/>
        </w:rPr>
        <w:t xml:space="preserve">合理、要点缺失、</w:t>
      </w:r>
      <w:r>
        <w:rPr>
          <w:rFonts w:hint="eastAsia" w:ascii="宋体" w:hAnsi="宋体" w:eastAsia="宋体" w:cs="宋体"/>
          <w:color w:val="auto"/>
          <w:szCs w:val="21"/>
          <w:highlight w:val="none"/>
          <w:lang w:val="en-US" w:eastAsia="zh-CN"/>
        </w:rPr>
        <w:t xml:space="preserve">不太可行</w:t>
      </w:r>
      <w:r>
        <w:rPr>
          <w:rFonts w:hint="default"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1</w:t>
      </w:r>
      <w:r>
        <w:rPr>
          <w:rFonts w:hint="default"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default" w:ascii="宋体" w:hAnsi="宋体" w:eastAsia="宋体" w:cs="宋体"/>
          <w:color w:val="auto"/>
          <w:szCs w:val="21"/>
          <w:highlight w:val="none"/>
        </w:rPr>
        <w:t xml:space="preserve">不提供不得分。</w:t>
      </w:r>
      <w:r/>
    </w:p>
    <w:p>
      <w:pPr>
        <w:numPr>
          <w:ilvl w:val="0"/>
          <w:numId w:val="47"/>
        </w:numPr>
        <w:keepLines w:val="0"/>
        <w:keepNext w:val="0"/>
        <w:pageBreakBefore w:val="0"/>
        <w:spacing w:line="400" w:lineRule="exact"/>
        <w:widowControl w:val="off"/>
        <w:tabs>
          <w:tab w:val="left" w:pos="840" w:leader="none"/>
          <w:tab w:val="left" w:pos="2870" w:leader="none"/>
        </w:tabs>
        <w:rPr>
          <w:rFonts w:hint="default" w:ascii="宋体" w:hAnsi="宋体" w:eastAsia="宋体" w:cs="宋体"/>
          <w:color w:val="auto"/>
          <w:spacing w:val="0"/>
          <w:sz w:val="21"/>
          <w:szCs w:val="21"/>
          <w:highlight w:val="none"/>
        </w:rPr>
        <w:outlineLvl w:val="9"/>
      </w:pPr>
      <w:r>
        <w:rPr>
          <w:rFonts w:hint="default" w:ascii="宋体" w:hAnsi="宋体" w:eastAsia="宋体" w:cs="宋体"/>
          <w:color w:val="auto"/>
          <w:spacing w:val="0"/>
          <w:sz w:val="21"/>
          <w:szCs w:val="21"/>
          <w:highlight w:val="none"/>
        </w:rPr>
        <w:t xml:space="preserve">重点、难点分析及应对措施</w:t>
      </w:r>
      <w:r>
        <w:rPr>
          <w:rFonts w:hint="eastAsia" w:ascii="宋体" w:hAnsi="宋体" w:eastAsia="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lang w:val="en-US" w:eastAsia="zh-CN"/>
        </w:rPr>
        <w:t xml:space="preserve">10</w:t>
      </w:r>
      <w:r>
        <w:rPr>
          <w:rFonts w:hint="default"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供应商应针对本项目，特别是对污染高值精准溯源、复杂污染源识别等重点难点进行分析，并提出应对措施。方案至少包含：项目重点分析、项目难点分析、重难点应对措施、具体案例分析。</w:t>
      </w:r>
      <w:r>
        <w:rPr>
          <w:rFonts w:hint="default" w:ascii="宋体" w:hAnsi="宋体" w:eastAsia="宋体" w:cs="宋体"/>
          <w:color w:val="auto"/>
          <w:szCs w:val="21"/>
          <w:highlight w:val="none"/>
        </w:rPr>
        <w:br/>
      </w:r>
      <w:r>
        <w:rPr>
          <w:rFonts w:hint="default" w:ascii="宋体" w:hAnsi="宋体" w:eastAsia="宋体" w:cs="宋体"/>
          <w:color w:val="auto"/>
          <w:szCs w:val="21"/>
          <w:highlight w:val="none"/>
        </w:rPr>
        <w:t xml:space="preserve">方案内容全面、科学合理、可行针对性强得</w:t>
      </w:r>
      <w:r>
        <w:rPr>
          <w:rFonts w:hint="eastAsia" w:ascii="宋体" w:hAnsi="宋体" w:cs="宋体"/>
          <w:color w:val="auto"/>
          <w:szCs w:val="21"/>
          <w:highlight w:val="none"/>
          <w:lang w:val="en-US" w:eastAsia="zh-CN"/>
        </w:rPr>
        <w:t xml:space="preserve">10</w:t>
      </w:r>
      <w:r>
        <w:rPr>
          <w:rFonts w:hint="default"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方案较全面，</w:t>
      </w:r>
      <w:r>
        <w:rPr>
          <w:rFonts w:hint="eastAsia" w:ascii="宋体" w:hAnsi="宋体" w:eastAsia="宋体" w:cs="宋体"/>
          <w:color w:val="auto"/>
          <w:szCs w:val="21"/>
          <w:highlight w:val="none"/>
          <w:lang w:val="en-US" w:eastAsia="zh-CN"/>
        </w:rPr>
        <w:t xml:space="preserve">较</w:t>
      </w:r>
      <w:r>
        <w:rPr>
          <w:rFonts w:hint="default" w:ascii="宋体" w:hAnsi="宋体" w:eastAsia="宋体" w:cs="宋体"/>
          <w:color w:val="auto"/>
          <w:szCs w:val="21"/>
          <w:highlight w:val="none"/>
        </w:rPr>
        <w:t xml:space="preserve">合理性</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较</w:t>
      </w:r>
      <w:r>
        <w:rPr>
          <w:rFonts w:hint="default" w:ascii="宋体" w:hAnsi="宋体" w:eastAsia="宋体" w:cs="宋体"/>
          <w:color w:val="auto"/>
          <w:szCs w:val="21"/>
          <w:highlight w:val="none"/>
        </w:rPr>
        <w:t xml:space="preserve">可行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有针对性</w:t>
      </w:r>
      <w:r>
        <w:rPr>
          <w:rFonts w:hint="default"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7</w:t>
      </w:r>
      <w:r>
        <w:rPr>
          <w:rFonts w:hint="default"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方案简单，</w:t>
      </w:r>
      <w:r>
        <w:rPr>
          <w:rFonts w:hint="eastAsia" w:ascii="宋体" w:hAnsi="宋体" w:eastAsia="宋体" w:cs="宋体"/>
          <w:color w:val="auto"/>
          <w:szCs w:val="21"/>
          <w:highlight w:val="none"/>
          <w:lang w:val="en-US" w:eastAsia="zh-CN"/>
        </w:rPr>
        <w:t xml:space="preserve">基本可行</w:t>
      </w:r>
      <w:r>
        <w:rPr>
          <w:rFonts w:hint="default"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4</w:t>
      </w:r>
      <w:r>
        <w:rPr>
          <w:rFonts w:hint="default"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default"/>
          <w:color w:val="auto"/>
          <w:highlight w:val="none"/>
        </w:rPr>
      </w:pPr>
      <w:r>
        <w:rPr>
          <w:rFonts w:hint="default" w:ascii="宋体" w:hAnsi="宋体" w:eastAsia="宋体" w:cs="宋体"/>
          <w:color w:val="auto"/>
          <w:szCs w:val="21"/>
          <w:highlight w:val="none"/>
        </w:rPr>
        <w:t xml:space="preserve">方案不</w:t>
      </w:r>
      <w:r>
        <w:rPr>
          <w:rFonts w:hint="eastAsia" w:ascii="宋体" w:hAnsi="宋体" w:eastAsia="宋体" w:cs="宋体"/>
          <w:color w:val="auto"/>
          <w:szCs w:val="21"/>
          <w:highlight w:val="none"/>
          <w:lang w:val="en-US" w:eastAsia="zh-CN"/>
        </w:rPr>
        <w:t xml:space="preserve">太</w:t>
      </w:r>
      <w:r>
        <w:rPr>
          <w:rFonts w:hint="default" w:ascii="宋体" w:hAnsi="宋体" w:eastAsia="宋体" w:cs="宋体"/>
          <w:color w:val="auto"/>
          <w:szCs w:val="21"/>
          <w:highlight w:val="none"/>
        </w:rPr>
        <w:t xml:space="preserve">合理、要点缺失、</w:t>
      </w:r>
      <w:r>
        <w:rPr>
          <w:rFonts w:hint="eastAsia" w:ascii="宋体" w:hAnsi="宋体" w:eastAsia="宋体" w:cs="宋体"/>
          <w:color w:val="auto"/>
          <w:szCs w:val="21"/>
          <w:highlight w:val="none"/>
          <w:lang w:val="en-US" w:eastAsia="zh-CN"/>
        </w:rPr>
        <w:t xml:space="preserve">不太可行</w:t>
      </w:r>
      <w:r>
        <w:rPr>
          <w:rFonts w:hint="default"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1</w:t>
      </w:r>
      <w:r>
        <w:rPr>
          <w:rFonts w:hint="default" w:ascii="宋体" w:hAnsi="宋体" w:eastAsia="宋体" w:cs="宋体"/>
          <w:color w:val="auto"/>
          <w:szCs w:val="21"/>
          <w:highlight w:val="none"/>
        </w:rPr>
        <w:t xml:space="preserve">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rPr>
      </w:pPr>
      <w:r>
        <w:rPr>
          <w:rFonts w:hint="default" w:ascii="宋体" w:hAnsi="宋体" w:eastAsia="宋体" w:cs="宋体"/>
          <w:color w:val="auto"/>
          <w:szCs w:val="21"/>
          <w:highlight w:val="none"/>
        </w:rPr>
        <w:t xml:space="preserve">不提供不得分。</w:t>
      </w:r>
      <w:r/>
    </w:p>
    <w:p>
      <w:pPr>
        <w:numPr>
          <w:ilvl w:val="0"/>
          <w:numId w:val="45"/>
        </w:numPr>
        <w:keepLines w:val="0"/>
        <w:keepNext w:val="0"/>
        <w:pageBreakBefore w:val="0"/>
        <w:spacing w:line="400" w:lineRule="exact"/>
        <w:widowControl w:val="off"/>
        <w:rPr>
          <w:rFonts w:hint="default"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针对本项目的人员配置（2</w:t>
      </w:r>
      <w:r>
        <w:rPr>
          <w:rFonts w:hint="eastAsia" w:ascii="宋体" w:hAnsi="宋体" w:cs="宋体"/>
          <w:b/>
          <w:color w:val="auto"/>
          <w:szCs w:val="21"/>
          <w:highlight w:val="none"/>
          <w:lang w:val="en-US" w:eastAsia="zh-CN"/>
        </w:rPr>
        <w:t xml:space="preserve">8</w:t>
      </w:r>
      <w:r>
        <w:rPr>
          <w:rFonts w:hint="default" w:ascii="宋体" w:hAnsi="宋体" w:eastAsia="宋体" w:cs="宋体"/>
          <w:b/>
          <w:color w:val="auto"/>
          <w:szCs w:val="21"/>
          <w:highlight w:val="none"/>
        </w:rPr>
        <w:t xml:space="preserve">分</w:t>
      </w:r>
      <w:r>
        <w:rPr>
          <w:rFonts w:hint="eastAsia" w:ascii="宋体" w:hAnsi="宋体" w:eastAsia="宋体" w:cs="宋体"/>
          <w:b/>
          <w:color w:val="auto"/>
          <w:szCs w:val="21"/>
          <w:highlight w:val="none"/>
          <w:lang w:val="en-US" w:eastAsia="zh-CN"/>
        </w:rPr>
        <w:t xml:space="preserve">）</w:t>
      </w:r>
      <w:r/>
    </w:p>
    <w:p>
      <w:pPr>
        <w:numPr>
          <w:ilvl w:val="0"/>
          <w:numId w:val="48"/>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color w:val="auto"/>
          <w:spacing w:val="0"/>
          <w:sz w:val="21"/>
          <w:szCs w:val="21"/>
          <w:highlight w:val="none"/>
        </w:rPr>
        <w:outlineLvl w:val="9"/>
      </w:pPr>
      <w:r>
        <w:rPr>
          <w:rFonts w:hint="eastAsia" w:ascii="宋体" w:hAnsi="宋体" w:eastAsia="宋体" w:cs="宋体"/>
          <w:color w:val="auto"/>
          <w:spacing w:val="0"/>
          <w:sz w:val="21"/>
          <w:szCs w:val="21"/>
          <w:highlight w:val="none"/>
        </w:rPr>
        <w:t xml:space="preserve">项目负责人</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9</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numPr>
          <w:ilvl w:val="0"/>
          <w:numId w:val="0"/>
        </w:numPr>
        <w:ind w:left="567"/>
        <w:keepLines w:val="0"/>
        <w:keepNext w:val="0"/>
        <w:pageBreakBefore w:val="0"/>
        <w:spacing w:line="400" w:lineRule="exact"/>
        <w:widowControl w:val="off"/>
        <w:tabs>
          <w:tab w:val="left" w:pos="567" w:leader="none"/>
        </w:tabs>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具有环保类高级及以上职称的得</w:t>
      </w: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分；具有环境类专业硕士及以上学位的得</w:t>
      </w: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分</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具有注册环评工程师证的得3分</w:t>
      </w:r>
      <w:r>
        <w:rPr>
          <w:rFonts w:hint="eastAsia" w:ascii="宋体" w:hAnsi="宋体" w:eastAsia="宋体" w:cs="宋体"/>
          <w:bCs/>
          <w:color w:val="auto"/>
          <w:highlight w:val="none"/>
        </w:rPr>
        <w:t xml:space="preserve">。提供相应的证书</w:t>
      </w:r>
      <w:r>
        <w:rPr>
          <w:rFonts w:hint="eastAsia" w:ascii="宋体" w:hAnsi="宋体" w:eastAsia="宋体" w:cs="宋体"/>
          <w:bCs/>
          <w:color w:val="auto"/>
          <w:highlight w:val="none"/>
          <w:lang w:val="en-US" w:eastAsia="zh-CN"/>
        </w:rPr>
        <w:t xml:space="preserve">证明</w:t>
      </w:r>
      <w:r>
        <w:rPr>
          <w:rFonts w:hint="eastAsia" w:ascii="宋体" w:hAnsi="宋体" w:eastAsia="宋体" w:cs="宋体"/>
          <w:bCs/>
          <w:color w:val="auto"/>
          <w:highlight w:val="none"/>
        </w:rPr>
        <w:t xml:space="preserve">及响应单位为其缴纳的</w:t>
      </w:r>
      <w:r>
        <w:rPr>
          <w:rFonts w:hint="eastAsia" w:cs="宋体"/>
          <w:color w:val="auto"/>
          <w:highlight w:val="none"/>
          <w:lang w:val="en-US" w:eastAsia="zh-CN"/>
        </w:rPr>
        <w:t xml:space="preserve">最近一期</w:t>
      </w:r>
      <w:r>
        <w:rPr>
          <w:rFonts w:hint="eastAsia" w:cs="宋体"/>
          <w:color w:val="auto"/>
          <w:highlight w:val="none"/>
        </w:rPr>
        <w:t xml:space="preserve">社保证明或有效股东注册</w:t>
      </w:r>
      <w:r>
        <w:rPr>
          <w:rFonts w:hint="eastAsia" w:cs="宋体"/>
          <w:color w:val="auto"/>
          <w:highlight w:val="none"/>
          <w:lang w:val="en-US" w:eastAsia="zh-CN"/>
        </w:rPr>
        <w:t xml:space="preserve">关系</w:t>
      </w:r>
      <w:r>
        <w:rPr>
          <w:rFonts w:hint="eastAsia" w:cs="宋体"/>
          <w:color w:val="auto"/>
          <w:highlight w:val="none"/>
        </w:rPr>
        <w:t xml:space="preserve">证明</w:t>
      </w:r>
      <w:r>
        <w:rPr>
          <w:rFonts w:hint="eastAsia" w:cs="宋体"/>
          <w:color w:val="auto"/>
          <w:highlight w:val="none"/>
          <w:lang w:val="en-US" w:eastAsia="zh-CN"/>
        </w:rPr>
        <w:t xml:space="preserve">材料</w:t>
      </w:r>
      <w:r>
        <w:rPr>
          <w:rFonts w:hint="eastAsia" w:cs="宋体"/>
          <w:color w:val="auto"/>
          <w:highlight w:val="none"/>
        </w:rPr>
        <w:t xml:space="preserve">（退休人员除外）</w:t>
      </w:r>
      <w:r>
        <w:rPr>
          <w:rFonts w:hint="eastAsia" w:ascii="宋体" w:hAnsi="宋体" w:eastAsia="宋体" w:cs="宋体"/>
          <w:bCs/>
          <w:color w:val="auto"/>
          <w:highlight w:val="none"/>
        </w:rPr>
        <w:t xml:space="preserve">，未提供不得分。</w:t>
      </w:r>
      <w:r/>
    </w:p>
    <w:p>
      <w:pPr>
        <w:numPr>
          <w:ilvl w:val="0"/>
          <w:numId w:val="48"/>
        </w:numPr>
        <w:keepLines w:val="0"/>
        <w:keepNext w:val="0"/>
        <w:pageBreakBefore w:val="0"/>
        <w:spacing w:line="400" w:lineRule="exact"/>
        <w:widowControl w:val="off"/>
        <w:tabs>
          <w:tab w:val="left" w:pos="840" w:leader="none"/>
          <w:tab w:val="left" w:pos="2870" w:leader="none"/>
        </w:tabs>
        <w:rPr>
          <w:rFonts w:hint="eastAsia" w:ascii="宋体" w:hAnsi="宋体" w:eastAsia="宋体" w:cs="宋体"/>
          <w:color w:val="auto"/>
          <w:spacing w:val="0"/>
          <w:sz w:val="21"/>
          <w:szCs w:val="21"/>
          <w:highlight w:val="none"/>
        </w:rPr>
        <w:outlineLvl w:val="9"/>
      </w:pPr>
      <w:r>
        <w:rPr>
          <w:rFonts w:hint="eastAsia" w:ascii="宋体" w:hAnsi="宋体" w:eastAsia="宋体" w:cs="宋体"/>
          <w:color w:val="auto"/>
          <w:spacing w:val="0"/>
          <w:sz w:val="21"/>
          <w:szCs w:val="21"/>
          <w:highlight w:val="none"/>
        </w:rPr>
        <w:t xml:space="preserve">项目组成员</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1</w:t>
      </w:r>
      <w:r>
        <w:rPr>
          <w:rFonts w:hint="eastAsia" w:ascii="宋体" w:hAnsi="宋体" w:cs="宋体"/>
          <w:color w:val="auto"/>
          <w:spacing w:val="0"/>
          <w:sz w:val="21"/>
          <w:szCs w:val="21"/>
          <w:highlight w:val="none"/>
          <w:lang w:val="en-US" w:eastAsia="zh-CN"/>
        </w:rPr>
        <w:t xml:space="preserve">9</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numPr>
          <w:ilvl w:val="0"/>
          <w:numId w:val="49"/>
        </w:numPr>
        <w:ind w:left="567" w:hanging="567"/>
        <w:keepLines w:val="0"/>
        <w:keepNext w:val="0"/>
        <w:pageBreakBefore w:val="0"/>
        <w:spacing w:line="40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具有环境类或分析化学类高级及以上职称的，</w:t>
      </w:r>
      <w:r>
        <w:rPr>
          <w:rFonts w:hint="eastAsia" w:ascii="宋体" w:hAnsi="宋体" w:eastAsia="宋体" w:cs="宋体"/>
          <w:bCs/>
          <w:color w:val="auto"/>
          <w:highlight w:val="none"/>
          <w:lang w:val="en-US" w:eastAsia="zh-CN"/>
        </w:rPr>
        <w:t xml:space="preserve">每人</w:t>
      </w:r>
      <w:r>
        <w:rPr>
          <w:rFonts w:hint="eastAsia" w:ascii="宋体" w:hAnsi="宋体" w:eastAsia="宋体" w:cs="宋体"/>
          <w:bCs/>
          <w:color w:val="auto"/>
          <w:highlight w:val="none"/>
        </w:rPr>
        <w:t xml:space="preserve">得</w:t>
      </w: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分，本项</w:t>
      </w:r>
      <w:r>
        <w:rPr>
          <w:rFonts w:hint="eastAsia" w:ascii="宋体" w:hAnsi="宋体" w:eastAsia="宋体" w:cs="宋体"/>
          <w:bCs/>
          <w:color w:val="auto"/>
          <w:highlight w:val="none"/>
          <w:lang w:val="en-US" w:eastAsia="zh-CN"/>
        </w:rPr>
        <w:t xml:space="preserve">最高</w:t>
      </w:r>
      <w:r>
        <w:rPr>
          <w:rFonts w:hint="eastAsia" w:ascii="宋体" w:hAnsi="宋体" w:eastAsia="宋体" w:cs="宋体"/>
          <w:bCs/>
          <w:color w:val="auto"/>
          <w:highlight w:val="none"/>
        </w:rPr>
        <w:t xml:space="preserve">得</w:t>
      </w:r>
      <w:r>
        <w:rPr>
          <w:rFonts w:hint="eastAsia" w:ascii="宋体" w:hAnsi="宋体" w:eastAsia="宋体" w:cs="宋体"/>
          <w:bCs/>
          <w:color w:val="auto"/>
          <w:highlight w:val="none"/>
          <w:lang w:val="en-US" w:eastAsia="zh-CN"/>
        </w:rPr>
        <w:t xml:space="preserve">9</w:t>
      </w:r>
      <w:r>
        <w:rPr>
          <w:rFonts w:hint="eastAsia" w:ascii="宋体" w:hAnsi="宋体" w:eastAsia="宋体" w:cs="宋体"/>
          <w:bCs/>
          <w:color w:val="auto"/>
          <w:highlight w:val="none"/>
        </w:rPr>
        <w:t xml:space="preserve">分。提供相应的证书</w:t>
      </w:r>
      <w:r>
        <w:rPr>
          <w:rFonts w:hint="eastAsia" w:ascii="宋体" w:hAnsi="宋体" w:eastAsia="宋体" w:cs="宋体"/>
          <w:bCs/>
          <w:color w:val="auto"/>
          <w:highlight w:val="none"/>
          <w:lang w:val="en-US" w:eastAsia="zh-CN"/>
        </w:rPr>
        <w:t xml:space="preserve">证明</w:t>
      </w:r>
      <w:r>
        <w:rPr>
          <w:rFonts w:hint="eastAsia" w:ascii="宋体" w:hAnsi="宋体" w:eastAsia="宋体" w:cs="宋体"/>
          <w:bCs/>
          <w:color w:val="auto"/>
          <w:highlight w:val="none"/>
        </w:rPr>
        <w:t xml:space="preserve">及响应单位为其缴纳的</w:t>
      </w:r>
      <w:r>
        <w:rPr>
          <w:rFonts w:hint="eastAsia" w:cs="宋体"/>
          <w:color w:val="auto"/>
          <w:highlight w:val="none"/>
          <w:lang w:val="en-US" w:eastAsia="zh-CN"/>
        </w:rPr>
        <w:t xml:space="preserve">最近一期</w:t>
      </w:r>
      <w:r>
        <w:rPr>
          <w:rFonts w:hint="eastAsia" w:cs="宋体"/>
          <w:color w:val="auto"/>
          <w:highlight w:val="none"/>
        </w:rPr>
        <w:t xml:space="preserve">社保证明或有效股东注册</w:t>
      </w:r>
      <w:r>
        <w:rPr>
          <w:rFonts w:hint="eastAsia" w:cs="宋体"/>
          <w:color w:val="auto"/>
          <w:highlight w:val="none"/>
          <w:lang w:val="en-US" w:eastAsia="zh-CN"/>
        </w:rPr>
        <w:t xml:space="preserve">关系</w:t>
      </w:r>
      <w:r>
        <w:rPr>
          <w:rFonts w:hint="eastAsia" w:cs="宋体"/>
          <w:color w:val="auto"/>
          <w:highlight w:val="none"/>
        </w:rPr>
        <w:t xml:space="preserve">证明</w:t>
      </w:r>
      <w:r>
        <w:rPr>
          <w:rFonts w:hint="eastAsia" w:cs="宋体"/>
          <w:color w:val="auto"/>
          <w:highlight w:val="none"/>
          <w:lang w:val="en-US" w:eastAsia="zh-CN"/>
        </w:rPr>
        <w:t xml:space="preserve">材料</w:t>
      </w:r>
      <w:r>
        <w:rPr>
          <w:rFonts w:hint="eastAsia" w:cs="宋体"/>
          <w:color w:val="auto"/>
          <w:highlight w:val="none"/>
        </w:rPr>
        <w:t xml:space="preserve">（退休人员除外）</w:t>
      </w:r>
      <w:r>
        <w:rPr>
          <w:rFonts w:hint="eastAsia" w:ascii="宋体" w:hAnsi="宋体" w:eastAsia="宋体" w:cs="宋体"/>
          <w:bCs/>
          <w:color w:val="auto"/>
          <w:highlight w:val="none"/>
        </w:rPr>
        <w:t xml:space="preserve">，未提供不得分。</w:t>
      </w:r>
      <w:r/>
    </w:p>
    <w:p>
      <w:pPr>
        <w:numPr>
          <w:ilvl w:val="0"/>
          <w:numId w:val="49"/>
        </w:numPr>
        <w:ind w:left="567" w:hanging="567"/>
        <w:keepLines w:val="0"/>
        <w:keepNext w:val="0"/>
        <w:pageBreakBefore w:val="0"/>
        <w:spacing w:line="40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项目组其他成员配置合理性：团队架构清晰，岗位职责明确，具备完善的质量控制与绩效考核制度，且成员具有走航监测或数据分析实际经验的得</w:t>
      </w:r>
      <w:r>
        <w:rPr>
          <w:rFonts w:hint="eastAsia" w:ascii="宋体" w:hAnsi="宋体" w:cs="宋体"/>
          <w:bCs/>
          <w:color w:val="auto"/>
          <w:highlight w:val="none"/>
          <w:lang w:val="en-US" w:eastAsia="zh-CN"/>
        </w:rPr>
        <w:t xml:space="preserve">10</w:t>
      </w:r>
      <w:r>
        <w:rPr>
          <w:rFonts w:hint="eastAsia" w:ascii="宋体" w:hAnsi="宋体" w:eastAsia="宋体" w:cs="宋体"/>
          <w:bCs/>
          <w:color w:val="auto"/>
          <w:highlight w:val="none"/>
        </w:rPr>
        <w:t xml:space="preserve">分；架构较清晰，职责较合理，有基本制度得</w:t>
      </w:r>
      <w:r>
        <w:rPr>
          <w:rFonts w:hint="eastAsia" w:ascii="宋体" w:hAnsi="宋体" w:cs="宋体"/>
          <w:bCs/>
          <w:color w:val="auto"/>
          <w:highlight w:val="none"/>
          <w:lang w:val="en-US" w:eastAsia="zh-CN"/>
        </w:rPr>
        <w:t xml:space="preserve">7</w:t>
      </w:r>
      <w:r>
        <w:rPr>
          <w:rFonts w:hint="eastAsia" w:ascii="宋体" w:hAnsi="宋体" w:eastAsia="宋体" w:cs="宋体"/>
          <w:bCs/>
          <w:color w:val="auto"/>
          <w:highlight w:val="none"/>
        </w:rPr>
        <w:t xml:space="preserve">分；架构简单，职责基本可行得</w:t>
      </w:r>
      <w:r>
        <w:rPr>
          <w:rFonts w:hint="eastAsia" w:ascii="宋体" w:hAnsi="宋体" w:cs="宋体"/>
          <w:bCs/>
          <w:color w:val="auto"/>
          <w:highlight w:val="none"/>
          <w:lang w:val="en-US" w:eastAsia="zh-CN"/>
        </w:rPr>
        <w:t xml:space="preserve">4</w:t>
      </w:r>
      <w:r>
        <w:rPr>
          <w:rFonts w:hint="eastAsia" w:ascii="宋体" w:hAnsi="宋体" w:eastAsia="宋体" w:cs="宋体"/>
          <w:bCs/>
          <w:color w:val="auto"/>
          <w:highlight w:val="none"/>
        </w:rPr>
        <w:t xml:space="preserve">分</w:t>
      </w:r>
      <w:r>
        <w:rPr>
          <w:rFonts w:hint="eastAsia" w:ascii="宋体" w:hAnsi="宋体" w:eastAsia="宋体" w:cs="宋体"/>
          <w:bCs/>
          <w:color w:val="auto"/>
          <w:highlight w:val="none"/>
          <w:lang w:eastAsia="zh-CN"/>
        </w:rPr>
        <w:t xml:space="preserve">；</w:t>
      </w:r>
      <w:r>
        <w:rPr>
          <w:rFonts w:hint="eastAsia" w:ascii="宋体" w:hAnsi="宋体" w:cs="宋体"/>
          <w:bCs/>
          <w:color w:val="auto"/>
          <w:highlight w:val="none"/>
          <w:lang w:val="en-US" w:eastAsia="zh-CN"/>
        </w:rPr>
        <w:t xml:space="preserve">人员岗位职责不太明确，管理制度缺失得1分；</w:t>
      </w:r>
      <w:r>
        <w:rPr>
          <w:rFonts w:hint="eastAsia" w:ascii="宋体" w:hAnsi="宋体" w:eastAsia="宋体" w:cs="宋体"/>
          <w:bCs/>
          <w:color w:val="auto"/>
          <w:highlight w:val="none"/>
        </w:rPr>
        <w:t xml:space="preserve">提供相应的</w:t>
      </w:r>
      <w:r>
        <w:rPr>
          <w:rFonts w:hint="eastAsia" w:ascii="宋体" w:hAnsi="宋体" w:eastAsia="宋体" w:cs="宋体"/>
          <w:bCs/>
          <w:color w:val="auto"/>
          <w:highlight w:val="none"/>
          <w:lang w:val="en-US" w:eastAsia="zh-CN"/>
        </w:rPr>
        <w:t xml:space="preserve">人员名单、经验证明等材料</w:t>
      </w:r>
      <w:r>
        <w:rPr>
          <w:rFonts w:hint="eastAsia" w:ascii="宋体" w:hAnsi="宋体" w:eastAsia="宋体" w:cs="宋体"/>
          <w:bCs/>
          <w:color w:val="auto"/>
          <w:highlight w:val="none"/>
        </w:rPr>
        <w:t xml:space="preserve">及响应单位为其缴纳的</w:t>
      </w:r>
      <w:r>
        <w:rPr>
          <w:rFonts w:hint="eastAsia" w:cs="宋体"/>
          <w:color w:val="auto"/>
          <w:highlight w:val="none"/>
          <w:lang w:val="en-US" w:eastAsia="zh-CN"/>
        </w:rPr>
        <w:t xml:space="preserve">最近一期</w:t>
      </w:r>
      <w:r>
        <w:rPr>
          <w:rFonts w:hint="eastAsia" w:cs="宋体"/>
          <w:color w:val="auto"/>
          <w:highlight w:val="none"/>
        </w:rPr>
        <w:t xml:space="preserve">社保证明或有效股东注册</w:t>
      </w:r>
      <w:r>
        <w:rPr>
          <w:rFonts w:hint="eastAsia" w:cs="宋体"/>
          <w:color w:val="auto"/>
          <w:highlight w:val="none"/>
          <w:lang w:val="en-US" w:eastAsia="zh-CN"/>
        </w:rPr>
        <w:t xml:space="preserve">关系</w:t>
      </w:r>
      <w:r>
        <w:rPr>
          <w:rFonts w:hint="eastAsia" w:cs="宋体"/>
          <w:color w:val="auto"/>
          <w:highlight w:val="none"/>
        </w:rPr>
        <w:t xml:space="preserve">证明</w:t>
      </w:r>
      <w:r>
        <w:rPr>
          <w:rFonts w:hint="eastAsia" w:cs="宋体"/>
          <w:color w:val="auto"/>
          <w:highlight w:val="none"/>
          <w:lang w:val="en-US" w:eastAsia="zh-CN"/>
        </w:rPr>
        <w:t xml:space="preserve">材料</w:t>
      </w:r>
      <w:r>
        <w:rPr>
          <w:rFonts w:hint="eastAsia" w:cs="宋体"/>
          <w:color w:val="auto"/>
          <w:highlight w:val="none"/>
        </w:rPr>
        <w:t xml:space="preserve">（退休人员除外）</w:t>
      </w:r>
      <w:r>
        <w:rPr>
          <w:rFonts w:hint="eastAsia" w:ascii="宋体" w:hAnsi="宋体" w:eastAsia="宋体" w:cs="宋体"/>
          <w:bCs/>
          <w:color w:val="auto"/>
          <w:highlight w:val="none"/>
        </w:rPr>
        <w:t xml:space="preserve">，未提供不得分。</w:t>
      </w:r>
      <w:r/>
    </w:p>
    <w:p>
      <w:pPr>
        <w:numPr>
          <w:ilvl w:val="0"/>
          <w:numId w:val="45"/>
        </w:numPr>
        <w:keepLines w:val="0"/>
        <w:keepNext w:val="0"/>
        <w:pageBreakBefore w:val="0"/>
        <w:spacing w:line="40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响应单位综合能力（1</w:t>
      </w: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rPr>
        <w:t xml:space="preserve">分</w:t>
      </w:r>
      <w:r>
        <w:rPr>
          <w:rFonts w:hint="eastAsia" w:ascii="宋体" w:hAnsi="宋体" w:eastAsia="宋体" w:cs="宋体"/>
          <w:b/>
          <w:color w:val="auto"/>
          <w:szCs w:val="21"/>
          <w:highlight w:val="none"/>
          <w:lang w:val="en-US" w:eastAsia="zh-CN"/>
        </w:rPr>
        <w:t xml:space="preserve">）</w:t>
      </w:r>
      <w:r/>
    </w:p>
    <w:p>
      <w:pPr>
        <w:numPr>
          <w:ilvl w:val="0"/>
          <w:numId w:val="50"/>
        </w:numPr>
        <w:ind w:left="567"/>
        <w:keepLines w:val="0"/>
        <w:keepNext w:val="0"/>
        <w:pageBreakBefore w:val="0"/>
        <w:spacing w:line="400" w:lineRule="exact"/>
        <w:widowControl w:val="off"/>
        <w:tabs>
          <w:tab w:val="left" w:pos="840" w:leader="none"/>
          <w:tab w:val="left" w:pos="287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管理体系认证(</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分)</w:t>
      </w:r>
      <w:r/>
    </w:p>
    <w:p>
      <w:pPr>
        <w:contextualSpacing/>
        <w:ind w:left="567" w:firstLine="0"/>
        <w:keepLines w:val="0"/>
        <w:keepNext w:val="0"/>
        <w:pageBreakBefore w:val="0"/>
        <w:spacing w:line="400" w:lineRule="exact"/>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color w:val="auto"/>
          <w:sz w:val="21"/>
          <w:szCs w:val="21"/>
          <w:highlight w:val="none"/>
        </w:rPr>
        <w:t xml:space="preserve">具有质量管理、环境管理、职业健康安全管理体系认证证书</w:t>
      </w:r>
      <w:r>
        <w:rPr>
          <w:rFonts w:hint="eastAsia" w:ascii="宋体" w:hAnsi="宋体" w:eastAsia="宋体" w:cs="宋体"/>
          <w:b w:val="0"/>
          <w:bCs w:val="0"/>
          <w:color w:val="auto"/>
          <w:sz w:val="21"/>
          <w:szCs w:val="21"/>
          <w:highlight w:val="none"/>
        </w:rPr>
        <w:t xml:space="preserve">，每个得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分；提供证书复印件及国家认监委网站查询</w:t>
      </w:r>
      <w:r>
        <w:rPr>
          <w:rFonts w:hint="eastAsia" w:ascii="宋体" w:hAnsi="宋体" w:eastAsia="宋体" w:cs="宋体"/>
          <w:b w:val="0"/>
          <w:bCs w:val="0"/>
          <w:color w:val="auto"/>
          <w:sz w:val="21"/>
          <w:szCs w:val="21"/>
          <w:highlight w:val="none"/>
          <w:lang w:val="en-US" w:eastAsia="zh-CN"/>
        </w:rPr>
        <w:t xml:space="preserve">证书</w:t>
      </w:r>
      <w:r>
        <w:rPr>
          <w:rFonts w:hint="eastAsia" w:ascii="宋体" w:hAnsi="宋体" w:eastAsia="宋体" w:cs="宋体"/>
          <w:b w:val="0"/>
          <w:bCs w:val="0"/>
          <w:color w:val="auto"/>
          <w:sz w:val="21"/>
          <w:szCs w:val="21"/>
          <w:highlight w:val="none"/>
        </w:rPr>
        <w:t xml:space="preserve">有效的截图证明，否则不得分。 </w:t>
      </w:r>
      <w:r/>
    </w:p>
    <w:p>
      <w:pPr>
        <w:numPr>
          <w:ilvl w:val="0"/>
          <w:numId w:val="50"/>
        </w:numPr>
        <w:ind w:left="567"/>
        <w:keepLines w:val="0"/>
        <w:keepNext w:val="0"/>
        <w:pageBreakBefore w:val="0"/>
        <w:spacing w:line="400" w:lineRule="exact"/>
        <w:widowControl w:val="off"/>
        <w:tabs>
          <w:tab w:val="left" w:pos="840"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类似项目业绩情况(</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contextualSpacing/>
        <w:ind w:left="567" w:firstLine="0"/>
        <w:keepLines w:val="0"/>
        <w:keepNext w:val="0"/>
        <w:pageBreakBefore w:val="0"/>
        <w:spacing w:line="400" w:lineRule="exact"/>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202</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年以来（以合同签订时间为准）承担过类似项目业绩</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rPr>
        <w:t xml:space="preserve">，每个得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分。提供合同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履约验收证明及合同期内任意一期发票</w:t>
      </w:r>
      <w:r>
        <w:rPr>
          <w:rFonts w:hint="eastAsia" w:ascii="宋体" w:hAnsi="宋体" w:eastAsia="宋体" w:cs="宋体"/>
          <w:b w:val="0"/>
          <w:bCs w:val="0"/>
          <w:color w:val="auto"/>
          <w:sz w:val="21"/>
          <w:szCs w:val="21"/>
          <w:highlight w:val="none"/>
        </w:rPr>
        <w:t xml:space="preserve">复印件，否则不得分。</w:t>
      </w:r>
      <w:r/>
    </w:p>
    <w:p>
      <w:pPr>
        <w:pStyle w:val="963"/>
        <w:rPr>
          <w:rFonts w:hint="eastAsia" w:ascii="宋体" w:hAnsi="宋体" w:cs="宋体"/>
          <w:color w:val="auto"/>
          <w:szCs w:val="21"/>
          <w:highlight w:val="none"/>
        </w:rPr>
      </w:pPr>
      <w:r>
        <w:rPr>
          <w:rFonts w:hint="eastAsia" w:ascii="宋体" w:hAnsi="宋体" w:cs="宋体"/>
          <w:color w:val="auto"/>
          <w:szCs w:val="21"/>
          <w:highlight w:val="none"/>
        </w:rPr>
      </w:r>
      <w:bookmarkEnd w:id="5"/>
      <w:r/>
      <w:r/>
    </w:p>
    <w:p>
      <w:pPr>
        <w:pStyle w:val="1019"/>
        <w:ind w:firstLine="420"/>
        <w:spacing w:line="400" w:lineRule="exact"/>
        <w:rPr>
          <w:rFonts w:cs="宋体"/>
          <w:color w:val="auto"/>
          <w:sz w:val="21"/>
          <w:szCs w:val="21"/>
          <w:highlight w:val="none"/>
        </w:rPr>
      </w:pPr>
      <w:r>
        <w:rPr>
          <w:rFonts w:cs="宋体"/>
          <w:color w:val="auto"/>
          <w:sz w:val="21"/>
          <w:szCs w:val="21"/>
          <w:highlight w:val="none"/>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注：针对</w:t>
      </w:r>
      <w:r>
        <w:rPr>
          <w:rFonts w:hint="eastAsia" w:ascii="宋体" w:hAnsi="宋体" w:cs="宋体"/>
          <w:b/>
          <w:bCs/>
          <w:color w:val="auto"/>
          <w:szCs w:val="21"/>
          <w:highlight w:val="none"/>
          <w:lang w:val="en-US" w:eastAsia="zh-CN"/>
        </w:rPr>
        <w:t xml:space="preserve">本项目</w:t>
      </w:r>
      <w:r>
        <w:rPr>
          <w:rFonts w:hint="eastAsia" w:ascii="宋体" w:hAnsi="宋体" w:cs="宋体"/>
          <w:b/>
          <w:bCs/>
          <w:color w:val="auto"/>
          <w:szCs w:val="21"/>
          <w:highlight w:val="none"/>
        </w:rPr>
        <w:t xml:space="preserve">评分标准中评分的每一条，磋商响应单位均应提供相关资料并作出相应说明供评委评判，不提供相关资料的视为不具备该项得分的条件。</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四、合同主要条款</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   甲方（采购人）：                                 单位地址：</w:t>
      </w:r>
      <w:r/>
    </w:p>
    <w:p>
      <w:pPr>
        <w:ind w:firstLine="315"/>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乙方（供应商）：                                 单位地址：</w:t>
      </w:r>
      <w:r/>
    </w:p>
    <w:p>
      <w:pPr>
        <w:ind w:firstLine="315"/>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签订日期：                                      签订地点：</w:t>
      </w:r>
      <w:r/>
    </w:p>
    <w:p>
      <w:pPr>
        <w:ind w:firstLine="426"/>
        <w:keepLines w:val="0"/>
        <w:keepNext w:val="0"/>
        <w:pageBreakBefore w:val="0"/>
        <w:spacing w:line="400" w:lineRule="exact"/>
        <w:widowControl w:val="off"/>
        <w:rPr>
          <w:rFonts w:ascii="宋体" w:hAnsi="宋体" w:cs="宋体"/>
          <w:color w:val="auto"/>
          <w:highlight w:val="none"/>
        </w:rPr>
        <w:outlineLvl w:val="9"/>
      </w:pPr>
      <w:r>
        <w:rPr>
          <w:rFonts w:ascii="宋体" w:hAnsi="宋体" w:cs="宋体"/>
          <w:color w:val="auto"/>
          <w:highlight w:val="none"/>
        </w:rPr>
      </w:r>
      <w:r/>
    </w:p>
    <w:p>
      <w:pPr>
        <w:ind w:firstLine="426"/>
        <w:keepLines w:val="0"/>
        <w:keepNext w:val="0"/>
        <w:pageBreakBefore w:val="0"/>
        <w:spacing w:line="400" w:lineRule="exact"/>
        <w:widowControl w:val="off"/>
        <w:rPr>
          <w:rFonts w:hint="eastAsia" w:ascii="宋体" w:hAnsi="宋体" w:cs="宋体"/>
          <w:color w:val="auto"/>
          <w:highlight w:val="none"/>
        </w:rPr>
        <w:outlineLvl w:val="9"/>
      </w:pPr>
      <w:r>
        <w:rPr>
          <w:rFonts w:hint="eastAsia" w:ascii="宋体" w:hAnsi="宋体" w:cs="宋体"/>
          <w:color w:val="auto"/>
          <w:highlight w:val="none"/>
        </w:rPr>
        <w:t xml:space="preserve">依据甲方委托</w:t>
      </w:r>
      <w:r>
        <w:rPr>
          <w:rFonts w:hint="eastAsia" w:ascii="宋体" w:hAnsi="宋体" w:cs="宋体"/>
          <w:color w:val="auto"/>
          <w:highlight w:val="none"/>
          <w:u w:val="single"/>
        </w:rPr>
        <w:t xml:space="preserve">苏州市原鑫招投标咨询服务有限公司</w:t>
      </w:r>
      <w:r>
        <w:rPr>
          <w:rFonts w:hint="eastAsia" w:ascii="宋体" w:hAnsi="宋体" w:cs="宋体"/>
          <w:color w:val="auto"/>
          <w:highlight w:val="none"/>
        </w:rPr>
        <w:t xml:space="preserve">进行</w:t>
      </w:r>
      <w:r>
        <w:rPr>
          <w:rFonts w:hint="eastAsia" w:ascii="宋体" w:hAnsi="宋体" w:cs="宋体"/>
          <w:color w:val="auto"/>
          <w:szCs w:val="21"/>
          <w:highlight w:val="none"/>
          <w:u w:val="single"/>
          <w:lang w:eastAsia="zh-CN"/>
        </w:rPr>
        <w:t xml:space="preserve">苏州市姑苏区大气精细化协同治理服务</w:t>
      </w:r>
      <w:r>
        <w:rPr>
          <w:rFonts w:hint="eastAsia" w:ascii="宋体" w:hAnsi="宋体" w:cs="宋体"/>
          <w:color w:val="auto"/>
          <w:highlight w:val="none"/>
        </w:rPr>
        <w:t xml:space="preserve">项目（采购编号：</w:t>
      </w:r>
      <w:r>
        <w:rPr>
          <w:rFonts w:hint="eastAsia" w:ascii="宋体" w:hAnsi="宋体" w:cs="宋体"/>
          <w:color w:val="auto"/>
          <w:szCs w:val="21"/>
          <w:highlight w:val="none"/>
          <w:u w:val="single"/>
          <w:lang w:eastAsia="zh-CN"/>
        </w:rPr>
        <w:t xml:space="preserve">JSZC-320508-SZYX-C2026-0020</w:t>
      </w:r>
      <w:r>
        <w:rPr>
          <w:rFonts w:hint="eastAsia" w:ascii="宋体" w:hAnsi="宋体" w:cs="宋体"/>
          <w:color w:val="auto"/>
          <w:highlight w:val="none"/>
        </w:rPr>
        <w:t xml:space="preserve">）政府采购的成交结果，</w:t>
      </w:r>
      <w:r>
        <w:rPr>
          <w:rFonts w:hint="eastAsia" w:ascii="宋体" w:hAnsi="宋体" w:cs="宋体"/>
          <w:color w:val="auto"/>
          <w:szCs w:val="21"/>
          <w:highlight w:val="none"/>
        </w:rPr>
        <w:t xml:space="preserve">确定乙方为本次</w:t>
      </w:r>
      <w:r>
        <w:rPr>
          <w:rFonts w:hint="eastAsia" w:ascii="宋体" w:hAnsi="宋体" w:cs="宋体"/>
          <w:color w:val="auto"/>
          <w:szCs w:val="21"/>
          <w:highlight w:val="none"/>
          <w:u w:val="single"/>
          <w:lang w:val="en-US" w:eastAsia="zh-CN"/>
        </w:rPr>
        <w:t xml:space="preserve">     标段</w:t>
      </w:r>
      <w:r>
        <w:rPr>
          <w:rFonts w:hint="eastAsia" w:ascii="宋体" w:hAnsi="宋体" w:cs="宋体"/>
          <w:color w:val="auto"/>
          <w:szCs w:val="21"/>
          <w:highlight w:val="none"/>
        </w:rPr>
        <w:t xml:space="preserve">成交供应商，现依照磋商文件、乙方的响应文件及相关文件的内容，签订本合同书</w:t>
      </w:r>
      <w:r>
        <w:rPr>
          <w:rFonts w:hint="eastAsia" w:ascii="宋体" w:hAnsi="宋体" w:cs="宋体"/>
          <w:color w:val="auto"/>
          <w:highlight w:val="none"/>
        </w:rPr>
        <w:t xml:space="preserve">。</w:t>
      </w:r>
      <w:r/>
    </w:p>
    <w:p>
      <w:pPr>
        <w:numPr>
          <w:ilvl w:val="0"/>
          <w:numId w:val="51"/>
        </w:numPr>
        <w:keepLines w:val="0"/>
        <w:keepNext w:val="0"/>
        <w:pageBreakBefore w:val="0"/>
        <w:spacing w:line="400" w:lineRule="exact"/>
        <w:rPr>
          <w:rFonts w:ascii="宋体" w:hAnsi="宋体" w:cs="宋体"/>
          <w:b/>
          <w:bCs/>
          <w:color w:val="auto"/>
          <w:highlight w:val="none"/>
        </w:rPr>
      </w:pPr>
      <w:r>
        <w:rPr>
          <w:rFonts w:hint="eastAsia" w:ascii="宋体" w:hAnsi="宋体" w:cs="宋体"/>
          <w:b/>
          <w:color w:val="auto"/>
          <w:highlight w:val="none"/>
        </w:rPr>
        <w:t xml:space="preserve">合同价格</w:t>
      </w:r>
      <w:r/>
    </w:p>
    <w:p>
      <w:pPr>
        <w:numPr>
          <w:ilvl w:val="1"/>
          <w:numId w:val="51"/>
        </w:numPr>
        <w:keepLines w:val="0"/>
        <w:keepNext w:val="0"/>
        <w:pageBreakBefore w:val="0"/>
        <w:spacing w:line="400" w:lineRule="exact"/>
        <w:tabs>
          <w:tab w:val="left" w:pos="567" w:leader="none"/>
        </w:tabs>
        <w:rPr>
          <w:rFonts w:ascii="宋体" w:hAnsi="宋体" w:cs="宋体"/>
          <w:bCs/>
          <w:color w:val="auto"/>
          <w:szCs w:val="21"/>
          <w:highlight w:val="none"/>
        </w:rPr>
      </w:pPr>
      <w:r>
        <w:rPr>
          <w:rFonts w:hint="eastAsia" w:cs="宋体"/>
          <w:bCs/>
          <w:color w:val="auto"/>
          <w:highlight w:val="none"/>
        </w:rPr>
        <w:t xml:space="preserve">本项目合同金额为：</w:t>
      </w:r>
      <w:r>
        <w:rPr>
          <w:rFonts w:hint="eastAsia" w:cs="宋体"/>
          <w:bCs/>
          <w:color w:val="auto"/>
          <w:highlight w:val="none"/>
          <w:u w:val="single"/>
        </w:rPr>
        <w:t xml:space="preserve">               </w:t>
      </w:r>
      <w:r>
        <w:rPr>
          <w:rFonts w:hint="eastAsia" w:cs="宋体"/>
          <w:bCs/>
          <w:color w:val="auto"/>
          <w:highlight w:val="none"/>
        </w:rPr>
        <w:t xml:space="preserve">。</w:t>
      </w:r>
      <w:r/>
    </w:p>
    <w:p>
      <w:pPr>
        <w:numPr>
          <w:ilvl w:val="1"/>
          <w:numId w:val="51"/>
        </w:numPr>
        <w:keepLines w:val="0"/>
        <w:keepNext w:val="0"/>
        <w:pageBreakBefore w:val="0"/>
        <w:spacing w:line="400" w:lineRule="exact"/>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合同价格实际</w:t>
      </w:r>
      <w:r>
        <w:rPr>
          <w:rFonts w:hint="eastAsia" w:cs="宋体"/>
          <w:bCs/>
          <w:color w:val="auto"/>
          <w:highlight w:val="none"/>
        </w:rPr>
        <w:t xml:space="preserve">包括完成本项目服务工作期间所需的人工、仪器设备车辆投入使用、材料、交通、会务、评估、成果编制、验收、保险、</w:t>
      </w:r>
      <w:r>
        <w:rPr>
          <w:rFonts w:hint="eastAsia" w:cs="宋体"/>
          <w:color w:val="auto"/>
          <w:highlight w:val="none"/>
        </w:rPr>
        <w:t xml:space="preserve">利润</w:t>
      </w:r>
      <w:r>
        <w:rPr>
          <w:rFonts w:hint="eastAsia" w:cs="宋体"/>
          <w:bCs/>
          <w:color w:val="auto"/>
          <w:highlight w:val="none"/>
        </w:rPr>
        <w:t xml:space="preserve">、税金、通讯、办公设备、政策性文件规定及合同包含的所有风险、责任等各项应有费用</w:t>
      </w:r>
      <w:r>
        <w:rPr>
          <w:rFonts w:hint="eastAsia" w:ascii="宋体" w:hAnsi="宋体" w:cs="宋体"/>
          <w:color w:val="auto"/>
          <w:szCs w:val="21"/>
          <w:highlight w:val="none"/>
        </w:rPr>
        <w:t xml:space="preserve">。</w:t>
      </w:r>
      <w:r/>
    </w:p>
    <w:p>
      <w:pPr>
        <w:numPr>
          <w:ilvl w:val="1"/>
          <w:numId w:val="51"/>
        </w:numPr>
        <w:keepLines w:val="0"/>
        <w:keepNext w:val="0"/>
        <w:pageBreakBefore w:val="0"/>
        <w:spacing w:line="400" w:lineRule="exact"/>
        <w:tabs>
          <w:tab w:val="left" w:pos="567" w:leader="none"/>
        </w:tabs>
        <w:rPr>
          <w:rFonts w:ascii="宋体" w:hAnsi="宋体" w:cs="宋体"/>
          <w:color w:val="auto"/>
          <w:szCs w:val="21"/>
          <w:highlight w:val="none"/>
        </w:rPr>
      </w:pPr>
      <w:r>
        <w:rPr>
          <w:rFonts w:hint="eastAsia" w:ascii="宋体" w:hAnsi="宋体" w:cs="宋体"/>
          <w:bCs/>
          <w:color w:val="auto"/>
          <w:szCs w:val="21"/>
          <w:highlight w:val="none"/>
        </w:rPr>
        <w:t xml:space="preserve">根据现行税法对甲方征收的与本合同有关的一切税费均由甲方承担；根据现行税法对乙方征收的与本合同有关的一切</w:t>
      </w:r>
      <w:r>
        <w:rPr>
          <w:rFonts w:hint="eastAsia" w:ascii="宋体" w:hAnsi="宋体" w:cs="宋体"/>
          <w:color w:val="auto"/>
          <w:szCs w:val="21"/>
          <w:highlight w:val="none"/>
        </w:rPr>
        <w:t xml:space="preserve">税费均由乙方承担。</w:t>
      </w:r>
      <w:r/>
    </w:p>
    <w:p>
      <w:pPr>
        <w:numPr>
          <w:ilvl w:val="0"/>
          <w:numId w:val="51"/>
        </w:numPr>
        <w:keepLines w:val="0"/>
        <w:keepNext w:val="0"/>
        <w:pageBreakBefore w:val="0"/>
        <w:spacing w:line="400" w:lineRule="exact"/>
        <w:rPr>
          <w:rFonts w:ascii="宋体" w:hAnsi="宋体" w:cs="宋体"/>
          <w:b/>
          <w:color w:val="auto"/>
          <w:highlight w:val="none"/>
        </w:rPr>
      </w:pPr>
      <w:r>
        <w:rPr>
          <w:rFonts w:hint="eastAsia" w:ascii="宋体" w:hAnsi="宋体" w:cs="宋体"/>
          <w:b/>
          <w:color w:val="auto"/>
          <w:highlight w:val="none"/>
        </w:rPr>
        <w:t xml:space="preserve">服务范围</w:t>
      </w:r>
      <w:r/>
    </w:p>
    <w:p>
      <w:pPr>
        <w:numPr>
          <w:ilvl w:val="1"/>
          <w:numId w:val="51"/>
        </w:numPr>
        <w:keepLines w:val="0"/>
        <w:keepNext w:val="0"/>
        <w:pageBreakBefore w:val="0"/>
        <w:spacing w:line="400" w:lineRule="exact"/>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甲方聘请乙方提供以下服务：</w:t>
      </w:r>
      <w:r/>
    </w:p>
    <w:p>
      <w:pPr>
        <w:numPr>
          <w:ilvl w:val="0"/>
          <w:numId w:val="52"/>
        </w:numPr>
        <w:ind w:left="993" w:hanging="426"/>
        <w:keepLines w:val="0"/>
        <w:keepNext w:val="0"/>
        <w:pageBreakBefore w:val="0"/>
        <w:spacing w:line="400" w:lineRule="exact"/>
        <w:tabs>
          <w:tab w:val="left" w:pos="993" w:leader="none"/>
        </w:tabs>
        <w:rPr>
          <w:rFonts w:ascii="宋体" w:hAnsi="宋体" w:cs="宋体"/>
          <w:color w:val="auto"/>
          <w:szCs w:val="21"/>
          <w:highlight w:val="none"/>
        </w:rPr>
      </w:pPr>
      <w:r>
        <w:rPr>
          <w:rFonts w:hint="eastAsia" w:ascii="宋体" w:hAnsi="宋体" w:cs="宋体"/>
          <w:color w:val="auto"/>
          <w:szCs w:val="21"/>
          <w:highlight w:val="none"/>
        </w:rPr>
        <w:t xml:space="preserve">服务内容：</w:t>
      </w:r>
      <w:r>
        <w:rPr>
          <w:rFonts w:hint="eastAsia" w:ascii="宋体" w:hAnsi="宋体" w:cs="宋体"/>
          <w:iCs/>
          <w:color w:val="auto"/>
          <w:szCs w:val="21"/>
          <w:highlight w:val="none"/>
          <w:u w:val="none"/>
          <w:lang w:val="en-US" w:eastAsia="zh-CN"/>
        </w:rPr>
        <w:t xml:space="preserve">详见采购文件</w:t>
      </w:r>
      <w:r>
        <w:rPr>
          <w:rFonts w:hint="eastAsia" w:ascii="宋体" w:hAnsi="宋体" w:cs="宋体"/>
          <w:color w:val="auto"/>
          <w:szCs w:val="21"/>
          <w:highlight w:val="none"/>
          <w:u w:val="none"/>
        </w:rPr>
        <w:t xml:space="preserve">。</w:t>
      </w:r>
      <w:r/>
    </w:p>
    <w:p>
      <w:pPr>
        <w:numPr>
          <w:ilvl w:val="0"/>
          <w:numId w:val="52"/>
        </w:numPr>
        <w:ind w:left="993" w:hanging="426"/>
        <w:keepLines w:val="0"/>
        <w:keepNext w:val="0"/>
        <w:pageBreakBefore w:val="0"/>
        <w:spacing w:line="400" w:lineRule="exact"/>
        <w:tabs>
          <w:tab w:val="left" w:pos="993" w:leader="none"/>
        </w:tabs>
        <w:rPr>
          <w:rFonts w:ascii="宋体" w:hAnsi="宋体" w:cs="宋体"/>
          <w:color w:val="auto"/>
          <w:szCs w:val="21"/>
          <w:highlight w:val="none"/>
        </w:rPr>
      </w:pPr>
      <w:r>
        <w:rPr>
          <w:rFonts w:hint="eastAsia" w:ascii="宋体" w:hAnsi="宋体" w:cs="宋体"/>
          <w:bCs/>
          <w:color w:val="auto"/>
          <w:szCs w:val="21"/>
          <w:highlight w:val="none"/>
        </w:rPr>
        <w:t xml:space="preserve">服务期限：</w:t>
      </w:r>
      <w:r>
        <w:rPr>
          <w:rFonts w:hint="eastAsia" w:ascii="宋体" w:hAnsi="宋体" w:cs="宋体"/>
          <w:color w:val="auto"/>
          <w:szCs w:val="21"/>
          <w:highlight w:val="none"/>
        </w:rPr>
        <w:t xml:space="preserve">合同签订之日起12个月。</w:t>
      </w:r>
      <w:r/>
    </w:p>
    <w:p>
      <w:pPr>
        <w:numPr>
          <w:ilvl w:val="0"/>
          <w:numId w:val="51"/>
        </w:numPr>
        <w:keepLines w:val="0"/>
        <w:keepNext w:val="0"/>
        <w:pageBreakBefore w:val="0"/>
        <w:spacing w:line="400" w:lineRule="exact"/>
        <w:rPr>
          <w:rFonts w:ascii="宋体" w:hAnsi="宋体" w:cs="宋体"/>
          <w:b/>
          <w:color w:val="auto"/>
          <w:highlight w:val="none"/>
        </w:rPr>
      </w:pPr>
      <w:r>
        <w:rPr>
          <w:rFonts w:hint="eastAsia" w:ascii="宋体" w:hAnsi="宋体" w:cs="宋体"/>
          <w:b/>
          <w:color w:val="auto"/>
          <w:highlight w:val="none"/>
        </w:rPr>
        <w:t xml:space="preserve">合同价格支付</w:t>
      </w:r>
      <w:r/>
    </w:p>
    <w:p>
      <w:pPr>
        <w:numPr>
          <w:ilvl w:val="1"/>
          <w:numId w:val="51"/>
        </w:numPr>
        <w:keepLines w:val="0"/>
        <w:keepNext w:val="0"/>
        <w:pageBreakBefore w:val="0"/>
        <w:spacing w:line="400" w:lineRule="exact"/>
        <w:tabs>
          <w:tab w:val="left" w:pos="567" w:leader="none"/>
        </w:tabs>
        <w:rPr>
          <w:rFonts w:hint="eastAsia" w:ascii="宋体" w:hAnsi="宋体" w:eastAsia="宋体" w:cs="宋体"/>
          <w:bCs/>
          <w:color w:val="auto"/>
          <w:szCs w:val="21"/>
          <w:highlight w:val="none"/>
          <w:u w:val="none"/>
        </w:rPr>
      </w:pPr>
      <w:r>
        <w:rPr>
          <w:rFonts w:hint="eastAsia" w:ascii="宋体" w:hAnsi="宋体" w:eastAsia="宋体" w:cs="宋体"/>
          <w:bCs/>
          <w:color w:val="auto"/>
          <w:szCs w:val="21"/>
          <w:highlight w:val="none"/>
          <w:u w:val="none"/>
        </w:rPr>
        <w:t xml:space="preserve">支付步骤：签订合同后，甲方支付合同金额的30%的预付款；乙方根据项目进度提交相应成果后，经甲方确认无服务质量问题，甲方于2027年3月底前支付至合同金额的50%，若存在成果缺失、报告不合格、应急响应超时等问题，甲方有权暂缓支付、扣减对应进度款；乙方提供项目所有成果，经甲方验收合格，并结合日常服务考评情况，甲方于2027年9月底前扣除日常考评扣款（如有）后支付剩余合同金额。</w:t>
      </w:r>
      <w:r/>
    </w:p>
    <w:p>
      <w:pPr>
        <w:numPr>
          <w:ilvl w:val="1"/>
          <w:numId w:val="51"/>
        </w:numPr>
        <w:keepLines w:val="0"/>
        <w:keepNext w:val="0"/>
        <w:pageBreakBefore w:val="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乙方要求付款应提供以下资料：</w:t>
      </w:r>
      <w:r/>
    </w:p>
    <w:p>
      <w:pPr>
        <w:numPr>
          <w:ilvl w:val="0"/>
          <w:numId w:val="53"/>
        </w:numPr>
        <w:ind w:left="993" w:hanging="426"/>
        <w:keepLines w:val="0"/>
        <w:keepNext w:val="0"/>
        <w:pageBreakBefore w:val="0"/>
        <w:spacing w:line="400" w:lineRule="exact"/>
        <w:tabs>
          <w:tab w:val="left" w:pos="993" w:leader="none"/>
        </w:tabs>
        <w:rPr>
          <w:rFonts w:ascii="宋体" w:hAnsi="宋体" w:cs="宋体"/>
          <w:color w:val="auto"/>
          <w:szCs w:val="21"/>
          <w:highlight w:val="none"/>
        </w:rPr>
      </w:pPr>
      <w:r>
        <w:rPr>
          <w:rFonts w:hint="eastAsia" w:ascii="宋体" w:hAnsi="宋体" w:cs="宋体"/>
          <w:color w:val="auto"/>
          <w:szCs w:val="21"/>
          <w:highlight w:val="none"/>
        </w:rPr>
        <w:t xml:space="preserve">合格的发票。</w:t>
      </w:r>
      <w:r/>
    </w:p>
    <w:p>
      <w:pPr>
        <w:numPr>
          <w:ilvl w:val="0"/>
          <w:numId w:val="53"/>
        </w:numPr>
        <w:ind w:left="993" w:hanging="426"/>
        <w:keepLines w:val="0"/>
        <w:keepNext w:val="0"/>
        <w:pageBreakBefore w:val="0"/>
        <w:spacing w:line="400" w:lineRule="exact"/>
        <w:tabs>
          <w:tab w:val="left" w:pos="993" w:leader="none"/>
        </w:tabs>
        <w:rPr>
          <w:rFonts w:ascii="宋体" w:hAnsi="宋体" w:cs="宋体"/>
          <w:color w:val="auto"/>
          <w:szCs w:val="21"/>
          <w:highlight w:val="none"/>
        </w:rPr>
      </w:pPr>
      <w:r>
        <w:rPr>
          <w:rFonts w:hint="eastAsia" w:ascii="宋体" w:hAnsi="宋体" w:cs="宋体"/>
          <w:color w:val="auto"/>
          <w:szCs w:val="21"/>
          <w:highlight w:val="none"/>
        </w:rPr>
        <w:t xml:space="preserve">合同履行验收报告。</w:t>
      </w:r>
      <w:r/>
    </w:p>
    <w:p>
      <w:pPr>
        <w:numPr>
          <w:ilvl w:val="0"/>
          <w:numId w:val="53"/>
        </w:numPr>
        <w:ind w:left="993" w:hanging="426"/>
        <w:keepLines w:val="0"/>
        <w:keepNext w:val="0"/>
        <w:pageBreakBefore w:val="0"/>
        <w:spacing w:line="400" w:lineRule="exact"/>
        <w:tabs>
          <w:tab w:val="left" w:pos="993" w:leader="none"/>
        </w:tabs>
        <w:rPr>
          <w:rFonts w:ascii="宋体" w:hAnsi="宋体" w:cs="宋体"/>
          <w:color w:val="auto"/>
          <w:szCs w:val="21"/>
          <w:highlight w:val="none"/>
        </w:rPr>
      </w:pPr>
      <w:r>
        <w:rPr>
          <w:rFonts w:hint="eastAsia" w:ascii="宋体" w:hAnsi="宋体" w:cs="宋体"/>
          <w:color w:val="auto"/>
          <w:szCs w:val="21"/>
          <w:highlight w:val="none"/>
        </w:rPr>
        <w:t xml:space="preserve">其他（如有）。</w:t>
      </w:r>
      <w:r/>
    </w:p>
    <w:p>
      <w:pPr>
        <w:numPr>
          <w:ilvl w:val="1"/>
          <w:numId w:val="51"/>
        </w:numPr>
        <w:keepLines w:val="0"/>
        <w:keepNext w:val="0"/>
        <w:pageBreakBefore w:val="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支付方式：转账。</w:t>
      </w:r>
      <w:r/>
    </w:p>
    <w:p>
      <w:pPr>
        <w:numPr>
          <w:ilvl w:val="1"/>
          <w:numId w:val="51"/>
        </w:numPr>
        <w:keepLines w:val="0"/>
        <w:keepNext w:val="0"/>
        <w:pageBreakBefore w:val="0"/>
        <w:spacing w:line="400" w:lineRule="exact"/>
        <w:tabs>
          <w:tab w:val="left" w:pos="5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因乙方服务瑕疵、整改逾期产生违约金、损失赔偿的，甲方可直接从当期应付款项中抵扣。</w:t>
      </w:r>
      <w:r/>
    </w:p>
    <w:p>
      <w:pPr>
        <w:numPr>
          <w:ilvl w:val="1"/>
          <w:numId w:val="51"/>
        </w:numPr>
        <w:keepLines w:val="0"/>
        <w:keepNext w:val="0"/>
        <w:pageBreakBefore w:val="0"/>
        <w:spacing w:line="400" w:lineRule="exact"/>
        <w:tabs>
          <w:tab w:val="left" w:pos="567" w:leader="none"/>
        </w:tabs>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数字</w:t>
      </w:r>
      <w:r>
        <w:rPr>
          <w:rFonts w:hint="eastAsia" w:asciiTheme="minorEastAsia" w:hAnsiTheme="minorEastAsia" w:eastAsiaTheme="minorEastAsia" w:cstheme="minorEastAsia"/>
          <w:color w:val="auto"/>
          <w:highlight w:val="none"/>
        </w:rPr>
        <w:t xml:space="preserve">人民支付账户信息：</w:t>
      </w:r>
      <w:r/>
    </w:p>
    <w:p>
      <w:pPr>
        <w:numPr>
          <w:ilvl w:val="3"/>
          <w:numId w:val="54"/>
        </w:numPr>
        <w:ind w:left="1080" w:right="-153" w:hanging="540"/>
        <w:keepLines w:val="0"/>
        <w:keepNext w:val="0"/>
        <w:pageBreakBefore w:val="0"/>
        <w:spacing w:line="400" w:lineRule="exact"/>
        <w:tabs>
          <w:tab w:val="left" w:pos="1080" w:leader="none"/>
          <w:tab w:val="clear" w:pos="2579"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账户名：</w:t>
      </w:r>
      <w:r/>
    </w:p>
    <w:p>
      <w:pPr>
        <w:numPr>
          <w:ilvl w:val="3"/>
          <w:numId w:val="54"/>
        </w:numPr>
        <w:ind w:left="1080" w:right="-153" w:hanging="540"/>
        <w:keepLines w:val="0"/>
        <w:keepNext w:val="0"/>
        <w:pageBreakBefore w:val="0"/>
        <w:spacing w:line="400" w:lineRule="exact"/>
        <w:tabs>
          <w:tab w:val="left" w:pos="1080" w:leader="none"/>
          <w:tab w:val="clear" w:pos="2579"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账号：</w:t>
      </w:r>
      <w:r/>
    </w:p>
    <w:p>
      <w:pPr>
        <w:numPr>
          <w:ilvl w:val="3"/>
          <w:numId w:val="54"/>
        </w:numPr>
        <w:ind w:left="1080" w:right="-153" w:hanging="540"/>
        <w:keepLines w:val="0"/>
        <w:keepNext w:val="0"/>
        <w:pageBreakBefore w:val="0"/>
        <w:spacing w:line="400" w:lineRule="exact"/>
        <w:tabs>
          <w:tab w:val="left" w:pos="1080" w:leader="none"/>
          <w:tab w:val="clear" w:pos="2579" w:leader="none"/>
        </w:tabs>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开户行：</w:t>
      </w:r>
      <w:r/>
    </w:p>
    <w:p>
      <w:pPr>
        <w:numPr>
          <w:ilvl w:val="3"/>
          <w:numId w:val="54"/>
        </w:numPr>
        <w:ind w:left="1080" w:right="-153" w:hanging="540"/>
        <w:keepLines w:val="0"/>
        <w:keepNext w:val="0"/>
        <w:pageBreakBefore w:val="0"/>
        <w:spacing w:line="400" w:lineRule="exact"/>
        <w:tabs>
          <w:tab w:val="left" w:pos="1080" w:leader="none"/>
          <w:tab w:val="clear" w:pos="2579" w:leader="none"/>
        </w:tabs>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数字人民币账户ID：</w:t>
      </w:r>
      <w:r/>
    </w:p>
    <w:p>
      <w:pPr>
        <w:numPr>
          <w:ilvl w:val="0"/>
          <w:numId w:val="51"/>
        </w:numPr>
        <w:keepLines w:val="0"/>
        <w:keepNext w:val="0"/>
        <w:pageBreakBefore w:val="0"/>
        <w:spacing w:line="40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权利与义务</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甲方的权利与义务</w:t>
      </w:r>
      <w:r/>
    </w:p>
    <w:p>
      <w:pPr>
        <w:numPr>
          <w:ilvl w:val="3"/>
          <w:numId w:val="55"/>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甲方应履行基本程序，根据项目具体情况</w:t>
      </w:r>
      <w:r>
        <w:rPr>
          <w:rFonts w:hint="eastAsia" w:asciiTheme="minorEastAsia" w:hAnsiTheme="minorEastAsia" w:eastAsiaTheme="minorEastAsia" w:cstheme="minorEastAsia"/>
          <w:color w:val="auto"/>
          <w:szCs w:val="21"/>
          <w:highlight w:val="none"/>
          <w:lang w:val="en-US" w:eastAsia="zh-CN"/>
        </w:rPr>
        <w:t xml:space="preserve">安排项目</w:t>
      </w:r>
      <w:r>
        <w:rPr>
          <w:rFonts w:hint="eastAsia" w:asciiTheme="minorEastAsia" w:hAnsiTheme="minorEastAsia" w:eastAsiaTheme="minorEastAsia" w:cstheme="minorEastAsia"/>
          <w:color w:val="auto"/>
          <w:szCs w:val="21"/>
          <w:highlight w:val="none"/>
        </w:rPr>
        <w:t xml:space="preserve">工作，并按合同有关规定支付费用。</w:t>
      </w:r>
      <w:r/>
    </w:p>
    <w:p>
      <w:pPr>
        <w:numPr>
          <w:ilvl w:val="3"/>
          <w:numId w:val="55"/>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甲方应向乙方提供开展工作所需要的相关文件、资料。</w:t>
      </w:r>
      <w:r/>
    </w:p>
    <w:p>
      <w:pPr>
        <w:numPr>
          <w:ilvl w:val="3"/>
          <w:numId w:val="55"/>
        </w:numPr>
        <w:ind w:left="1080" w:right="-153" w:hanging="540"/>
        <w:keepLines w:val="0"/>
        <w:keepNext w:val="0"/>
        <w:pageBreakBefore w:val="0"/>
        <w:spacing w:line="400" w:lineRule="exact"/>
        <w:tabs>
          <w:tab w:val="left" w:pos="1080" w:leader="none"/>
          <w:tab w:val="clear" w:pos="2579" w:leader="none"/>
        </w:tabs>
        <w:rPr>
          <w:rFonts w:hint="eastAsia" w:ascii="宋体" w:hAnsi="宋体" w:eastAsia="宋体" w:cs="宋体"/>
          <w:color w:val="auto"/>
          <w:sz w:val="21"/>
          <w:szCs w:val="21"/>
          <w:highlight w:val="none"/>
          <w:shd w:val="clear" w:color="auto" w:fill="ffffff"/>
        </w:rPr>
      </w:pPr>
      <w:r>
        <w:rPr>
          <w:rFonts w:hint="eastAsia" w:asciiTheme="minorEastAsia" w:hAnsiTheme="minorEastAsia" w:eastAsiaTheme="minorEastAsia" w:cstheme="minorEastAsia"/>
          <w:color w:val="auto"/>
          <w:szCs w:val="21"/>
          <w:highlight w:val="none"/>
        </w:rPr>
        <w:t xml:space="preserve">甲方有权在乙方故意违约的情况下</w:t>
      </w:r>
      <w:r>
        <w:rPr>
          <w:rFonts w:hint="eastAsia" w:ascii="宋体" w:hAnsi="宋体" w:eastAsia="宋体" w:cs="宋体"/>
          <w:color w:val="auto"/>
          <w:sz w:val="21"/>
          <w:szCs w:val="21"/>
          <w:highlight w:val="none"/>
          <w:shd w:val="clear" w:color="auto" w:fill="ffffff"/>
        </w:rPr>
        <w:t xml:space="preserve">提出解除合同，并追究乙方违约责任。</w:t>
      </w:r>
      <w:r/>
    </w:p>
    <w:p>
      <w:pPr>
        <w:numPr>
          <w:ilvl w:val="3"/>
          <w:numId w:val="55"/>
        </w:numPr>
        <w:ind w:left="1080" w:right="-153" w:hanging="540"/>
        <w:spacing w:line="400" w:lineRule="exact"/>
        <w:tabs>
          <w:tab w:val="left" w:pos="1080" w:leader="none"/>
          <w:tab w:val="clear" w:pos="2579" w:leader="none"/>
        </w:tabs>
        <w:rPr>
          <w:rFonts w:ascii="宋体" w:hAnsi="宋体" w:cs="宋体"/>
          <w:color w:val="auto"/>
          <w:szCs w:val="21"/>
          <w:highlight w:val="none"/>
        </w:rPr>
      </w:pPr>
      <w:r>
        <w:rPr>
          <w:rFonts w:hint="eastAsia" w:ascii="宋体" w:hAnsi="宋体" w:cs="宋体"/>
          <w:color w:val="auto"/>
          <w:szCs w:val="21"/>
          <w:highlight w:val="none"/>
        </w:rPr>
        <w:t xml:space="preserve">‌甲方有权不定时现场抽查巡查记录、走航设备、在岗人员、原始监测数据，有权调取实时监测后台。</w:t>
      </w:r>
      <w:r/>
    </w:p>
    <w:p>
      <w:pPr>
        <w:numPr>
          <w:ilvl w:val="3"/>
          <w:numId w:val="55"/>
        </w:numPr>
        <w:ind w:left="1080" w:right="-153" w:hanging="540"/>
        <w:spacing w:line="400" w:lineRule="exact"/>
        <w:tabs>
          <w:tab w:val="left" w:pos="1080" w:leader="none"/>
          <w:tab w:val="clear" w:pos="2579" w:leader="none"/>
        </w:tabs>
        <w:rPr>
          <w:rFonts w:ascii="宋体" w:hAnsi="宋体" w:cs="宋体"/>
          <w:color w:val="auto"/>
          <w:szCs w:val="21"/>
          <w:highlight w:val="none"/>
        </w:rPr>
      </w:pPr>
      <w:r>
        <w:rPr>
          <w:rFonts w:hint="eastAsia" w:ascii="宋体" w:hAnsi="宋体" w:cs="宋体"/>
          <w:color w:val="auto"/>
          <w:szCs w:val="21"/>
          <w:highlight w:val="none"/>
        </w:rPr>
        <w:t xml:space="preserve">甲方可随时下达临时管控、应急溯源、加测加巡指令，乙方须无条件执行，相关费用已包含在合同总价，不得另行加价。</w:t>
      </w:r>
      <w:r/>
    </w:p>
    <w:p>
      <w:pPr>
        <w:numPr>
          <w:ilvl w:val="3"/>
          <w:numId w:val="55"/>
        </w:numPr>
        <w:ind w:left="1080" w:right="-153" w:hanging="540"/>
        <w:spacing w:line="400" w:lineRule="exact"/>
        <w:tabs>
          <w:tab w:val="left" w:pos="1080" w:leader="none"/>
          <w:tab w:val="clear" w:pos="2579" w:leader="none"/>
        </w:tabs>
        <w:rPr>
          <w:rFonts w:ascii="宋体" w:hAnsi="宋体" w:cs="宋体"/>
          <w:color w:val="auto"/>
          <w:szCs w:val="21"/>
          <w:highlight w:val="none"/>
        </w:rPr>
      </w:pPr>
      <w:r>
        <w:rPr>
          <w:rFonts w:hint="eastAsia" w:ascii="宋体" w:hAnsi="宋体" w:cs="宋体"/>
          <w:color w:val="auto"/>
          <w:szCs w:val="21"/>
          <w:highlight w:val="none"/>
        </w:rPr>
        <w:t xml:space="preserve">上级生态环境部门、督查组检查发现服务缺失、数据造假、报告失实问题，全部责任由乙方承担，甲方有权扣减服务费、追究违约金。</w:t>
      </w:r>
      <w:r/>
    </w:p>
    <w:p>
      <w:pPr>
        <w:numPr>
          <w:ilvl w:val="3"/>
          <w:numId w:val="55"/>
        </w:numPr>
        <w:ind w:left="1080" w:right="-153" w:hanging="540"/>
        <w:keepLines w:val="0"/>
        <w:keepNext w:val="0"/>
        <w:pageBreakBefore w:val="0"/>
        <w:spacing w:line="400" w:lineRule="exact"/>
        <w:tabs>
          <w:tab w:val="left" w:pos="1080" w:leader="none"/>
          <w:tab w:val="clear" w:pos="2579" w:leader="none"/>
        </w:tabs>
        <w:rPr>
          <w:rFonts w:hint="eastAsia" w:ascii="宋体" w:hAnsi="宋体" w:eastAsia="宋体" w:cs="宋体"/>
          <w:color w:val="auto"/>
          <w:sz w:val="21"/>
          <w:szCs w:val="21"/>
          <w:highlight w:val="none"/>
          <w:shd w:val="clear" w:color="auto" w:fill="ffffff"/>
        </w:rPr>
      </w:pPr>
      <w:r>
        <w:rPr>
          <w:rFonts w:hint="eastAsia" w:ascii="宋体" w:hAnsi="宋体" w:cs="宋体"/>
          <w:color w:val="auto"/>
          <w:szCs w:val="21"/>
          <w:highlight w:val="none"/>
        </w:rPr>
        <w:t xml:space="preserve">甲方有权要求乙方提供全部监测原始数据、后台登录权限，乙方不得隐匿、篡改、删除监测、巡查记录。</w:t>
      </w:r>
      <w:r>
        <w:rPr>
          <w:rFonts w:hint="eastAsia" w:ascii="宋体" w:hAnsi="宋体" w:eastAsia="宋体" w:cs="宋体"/>
          <w:color w:val="auto"/>
          <w:sz w:val="21"/>
          <w:szCs w:val="21"/>
          <w:highlight w:val="none"/>
          <w:shd w:val="clear" w:color="auto" w:fill="ffffff"/>
        </w:rPr>
        <w:t xml:space="preserve">‌</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乙方的权利与义务</w:t>
      </w:r>
      <w:r/>
    </w:p>
    <w:p>
      <w:pPr>
        <w:numPr>
          <w:ilvl w:val="3"/>
          <w:numId w:val="56"/>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乙方应根据响应文件和签订的合同，按照相关规定，完成本合同项目的工作。</w:t>
      </w:r>
      <w:r/>
    </w:p>
    <w:p>
      <w:pPr>
        <w:numPr>
          <w:ilvl w:val="3"/>
          <w:numId w:val="56"/>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乙方应做好项目的质量管理工作，建立健全的质量保证体系，加强项目全过程的质量控制，明确各阶段的责任人，并对质量负责。</w:t>
      </w:r>
      <w:r/>
    </w:p>
    <w:p>
      <w:pPr>
        <w:numPr>
          <w:ilvl w:val="3"/>
          <w:numId w:val="56"/>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w:t>
      </w:r>
      <w:r>
        <w:rPr>
          <w:rFonts w:hint="eastAsia" w:asciiTheme="minorEastAsia" w:hAnsiTheme="minorEastAsia" w:eastAsiaTheme="minorEastAsia" w:cstheme="minorEastAsia"/>
          <w:color w:val="auto"/>
          <w:szCs w:val="21"/>
          <w:highlight w:val="none"/>
          <w:lang w:val="en-US" w:eastAsia="zh-CN"/>
        </w:rPr>
        <w:t xml:space="preserve">实施</w:t>
      </w:r>
      <w:r>
        <w:rPr>
          <w:rFonts w:hint="eastAsia" w:asciiTheme="minorEastAsia" w:hAnsiTheme="minorEastAsia" w:eastAsiaTheme="minorEastAsia" w:cstheme="minorEastAsia"/>
          <w:color w:val="auto"/>
          <w:szCs w:val="21"/>
          <w:highlight w:val="none"/>
        </w:rPr>
        <w:t xml:space="preserve">过程必须符合国家</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行业</w:t>
      </w:r>
      <w:r>
        <w:rPr>
          <w:rFonts w:hint="eastAsia" w:asciiTheme="minorEastAsia" w:hAnsiTheme="minorEastAsia" w:eastAsiaTheme="minorEastAsia" w:cstheme="minorEastAsia"/>
          <w:color w:val="auto"/>
          <w:szCs w:val="21"/>
          <w:highlight w:val="none"/>
        </w:rPr>
        <w:t xml:space="preserve">颁布的有关规程、标准、规范、办法以及有关文件和规定</w:t>
      </w:r>
      <w:r>
        <w:rPr>
          <w:rFonts w:hint="eastAsia" w:asciiTheme="minorEastAsia" w:hAnsiTheme="minorEastAsia" w:eastAsiaTheme="minorEastAsia" w:cstheme="minorEastAsia"/>
          <w:color w:val="auto"/>
          <w:szCs w:val="21"/>
          <w:highlight w:val="none"/>
          <w:lang w:eastAsia="zh-CN"/>
        </w:rPr>
        <w:t xml:space="preserve">。</w:t>
      </w:r>
      <w:r/>
    </w:p>
    <w:p>
      <w:pPr>
        <w:numPr>
          <w:ilvl w:val="3"/>
          <w:numId w:val="56"/>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乙方在项目进行过程中，如果发生侵犯专利权等行为而引起索赔或诉讼，则乙方应承担全部责任，并保障甲方免于承担由此造成的一切损害和损失。</w:t>
      </w:r>
      <w:r/>
    </w:p>
    <w:p>
      <w:pPr>
        <w:numPr>
          <w:ilvl w:val="3"/>
          <w:numId w:val="56"/>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乙方应定期以书面形式向甲方汇报进度和任务完成情况，并接受甲方的检查，同时根据甲方要求向甲方汇报或接受检查。</w:t>
      </w:r>
      <w:r/>
    </w:p>
    <w:p>
      <w:pPr>
        <w:numPr>
          <w:ilvl w:val="3"/>
          <w:numId w:val="56"/>
        </w:numPr>
        <w:ind w:left="1080" w:right="-153" w:hanging="540"/>
        <w:keepLines w:val="0"/>
        <w:keepNext w:val="0"/>
        <w:pageBreakBefore w:val="0"/>
        <w:spacing w:line="400" w:lineRule="exact"/>
        <w:tabs>
          <w:tab w:val="left" w:pos="1080" w:leader="none"/>
          <w:tab w:val="clear" w:pos="2579" w:leader="none"/>
        </w:tabs>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color w:val="auto"/>
          <w:szCs w:val="21"/>
          <w:highlight w:val="none"/>
        </w:rPr>
        <w:t xml:space="preserve">在项目进行过程中，乙方应配合甲方做好与地方</w:t>
      </w:r>
      <w:r>
        <w:rPr>
          <w:rFonts w:hint="eastAsia" w:ascii="宋体" w:hAnsi="宋体" w:eastAsia="宋体" w:cs="宋体"/>
          <w:color w:val="auto"/>
          <w:sz w:val="21"/>
          <w:szCs w:val="21"/>
          <w:highlight w:val="none"/>
        </w:rPr>
        <w:t xml:space="preserve">政府部门的协调工作。</w:t>
      </w:r>
      <w:r/>
    </w:p>
    <w:p>
      <w:pPr>
        <w:numPr>
          <w:ilvl w:val="0"/>
          <w:numId w:val="51"/>
        </w:numPr>
        <w:keepLines w:val="0"/>
        <w:keepNext w:val="0"/>
        <w:pageBreakBefore w:val="0"/>
        <w:spacing w:line="400" w:lineRule="exact"/>
        <w:widowControl w:val="off"/>
        <w:rPr>
          <w:rFonts w:hint="eastAsia" w:ascii="宋体" w:hAnsi="宋体" w:eastAsia="宋体" w:cs="宋体"/>
          <w:b/>
          <w:color w:val="auto"/>
          <w:sz w:val="21"/>
          <w:szCs w:val="21"/>
          <w:highlight w:val="none"/>
        </w:rPr>
        <w:outlineLvl w:val="9"/>
      </w:pPr>
      <w:r/>
      <w:bookmarkStart w:id="6" w:name="_Toc15147"/>
      <w:r>
        <w:rPr>
          <w:rFonts w:hint="eastAsia" w:ascii="宋体" w:hAnsi="宋体" w:eastAsia="宋体" w:cs="宋体"/>
          <w:b/>
          <w:color w:val="auto"/>
          <w:sz w:val="21"/>
          <w:szCs w:val="21"/>
          <w:highlight w:val="none"/>
        </w:rPr>
        <w:t xml:space="preserve">人员保证与变更</w:t>
      </w:r>
      <w:bookmarkEnd w:id="6"/>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乙方应按磋商响应文件中承诺的人员投入工作，在项目进行过程中应保持人员的稳定。确需调整，应报备后经甲方批准。</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如果乙方的人员渎职或不能胜任工作或从事其他违法活动，甲方有权书面要求更换，乙方应立即派出具有同等或以上资历的人员替换。甲方要求更换不合格人员，乙方须3日内完成替换，逾期未更换的，每日按合同总价万分之四计收违约金。</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若乙方的进度没有达到乙方响应文件中承诺的进度计划，甲方有权提出要求增加乙方人员，乙方应立即安排，其费用被认为已包含在合同价格之中。</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安全责任：乙方在项目实施过程中，服务期内出现的一切安全责任（包括乙方服务人员的人身财产安全及因本项目原因造成的其他安全事故等）由乙方全权负责并承担由此造成的一切损失，甲方无责。</w:t>
      </w:r>
      <w:r/>
    </w:p>
    <w:p>
      <w:pPr>
        <w:numPr>
          <w:ilvl w:val="0"/>
          <w:numId w:val="51"/>
        </w:numPr>
        <w:keepLines w:val="0"/>
        <w:keepNext w:val="0"/>
        <w:pageBreakBefore w:val="0"/>
        <w:spacing w:line="400" w:lineRule="exact"/>
        <w:widowControl w:val="off"/>
        <w:rPr>
          <w:rFonts w:hint="default" w:ascii="宋体" w:hAnsi="宋体" w:eastAsia="宋体" w:cs="宋体"/>
          <w:b/>
          <w:color w:val="auto"/>
          <w:sz w:val="21"/>
          <w:szCs w:val="21"/>
          <w:highlight w:val="none"/>
          <w:lang w:val="en-US" w:eastAsia="zh-CN"/>
        </w:rPr>
        <w:outlineLvl w:val="9"/>
      </w:pPr>
      <w:r>
        <w:rPr>
          <w:rFonts w:hint="eastAsia" w:ascii="宋体" w:hAnsi="宋体" w:eastAsia="宋体" w:cs="宋体"/>
          <w:b/>
          <w:color w:val="auto"/>
          <w:sz w:val="21"/>
          <w:szCs w:val="21"/>
          <w:highlight w:val="none"/>
          <w:lang w:val="en-US" w:eastAsia="zh-CN"/>
        </w:rPr>
        <w:t xml:space="preserve">履约验收要求</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履约验收时间：本项目甲方采用日常服务考核与最终成果验收相结合的方式对乙方日常提供的服务以及提交的所有项目成果进行验收，项目成果于乙方递交后一个月内组织验收小组对提交的所有成果进行查阅、评审、验收，提出验收意见。</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验收考核标准：本项目工作应依据国家、行业及上级部门相关文件标准、规范等要求开展，日常考核根据服务考评实施细则进行考核，最终项目工作成果甲方根据实际工作需求及相关文件规范进行验收。</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考核</w:t>
      </w:r>
      <w:r>
        <w:rPr>
          <w:rFonts w:hint="default" w:ascii="宋体" w:hAnsi="宋体" w:eastAsia="宋体" w:cs="宋体"/>
          <w:color w:val="auto"/>
          <w:sz w:val="21"/>
          <w:szCs w:val="21"/>
          <w:highlight w:val="none"/>
          <w:lang w:val="en-US" w:eastAsia="zh-CN"/>
        </w:rPr>
        <w:t xml:space="preserve">验收合格的，甲方根据采购合同约定及时向乙方支付采购资金</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lang w:val="en-US" w:eastAsia="zh-CN"/>
        </w:rPr>
        <w:t xml:space="preserve">考核</w:t>
      </w:r>
      <w:r>
        <w:rPr>
          <w:rFonts w:hint="default" w:ascii="宋体" w:hAnsi="宋体" w:eastAsia="宋体" w:cs="宋体"/>
          <w:color w:val="auto"/>
          <w:sz w:val="21"/>
          <w:szCs w:val="21"/>
          <w:highlight w:val="none"/>
          <w:lang w:val="en-US" w:eastAsia="zh-CN"/>
        </w:rPr>
        <w:t xml:space="preserve">验收不合格的，</w:t>
      </w:r>
      <w:r>
        <w:rPr>
          <w:rFonts w:hint="eastAsia" w:ascii="宋体" w:hAnsi="宋体" w:eastAsia="宋体" w:cs="宋体"/>
          <w:color w:val="auto"/>
          <w:sz w:val="21"/>
          <w:szCs w:val="21"/>
          <w:highlight w:val="none"/>
          <w:lang w:val="en-US" w:eastAsia="zh-CN"/>
        </w:rPr>
        <w:t xml:space="preserve">日常考核根据考评细则进行相应扣款，成果验收根据验收意见供应商进行限期整改，直到满足验收要求为止，否则甲方将不予</w:t>
      </w:r>
      <w:r>
        <w:rPr>
          <w:rFonts w:hint="default" w:ascii="宋体" w:hAnsi="宋体" w:eastAsia="宋体" w:cs="宋体"/>
          <w:color w:val="auto"/>
          <w:sz w:val="21"/>
          <w:szCs w:val="21"/>
          <w:highlight w:val="none"/>
          <w:lang w:val="en-US" w:eastAsia="zh-CN"/>
        </w:rPr>
        <w:t xml:space="preserve">支付</w:t>
      </w:r>
      <w:r>
        <w:rPr>
          <w:rFonts w:hint="eastAsia" w:ascii="宋体" w:hAnsi="宋体" w:eastAsia="宋体" w:cs="宋体"/>
          <w:color w:val="auto"/>
          <w:sz w:val="21"/>
          <w:szCs w:val="21"/>
          <w:highlight w:val="none"/>
          <w:lang w:val="en-US" w:eastAsia="zh-CN"/>
        </w:rPr>
        <w:t xml:space="preserve">相应合同款项</w:t>
      </w:r>
      <w:r>
        <w:rPr>
          <w:rFonts w:hint="default" w:ascii="宋体" w:hAnsi="宋体" w:eastAsia="宋体" w:cs="宋体"/>
          <w:color w:val="auto"/>
          <w:sz w:val="21"/>
          <w:szCs w:val="21"/>
          <w:highlight w:val="none"/>
          <w:lang w:val="en-US" w:eastAsia="zh-CN"/>
        </w:rPr>
        <w:t xml:space="preserve">，并按照采购合同约定追究乙方违约责任</w:t>
      </w:r>
      <w:r>
        <w:rPr>
          <w:rFonts w:hint="eastAsia" w:ascii="宋体" w:hAnsi="宋体" w:eastAsia="宋体" w:cs="宋体"/>
          <w:color w:val="auto"/>
          <w:sz w:val="21"/>
          <w:szCs w:val="21"/>
          <w:highlight w:val="none"/>
          <w:lang w:val="en-US" w:eastAsia="zh-CN"/>
        </w:rPr>
        <w:t xml:space="preserve">。</w:t>
      </w:r>
      <w:r/>
    </w:p>
    <w:p>
      <w:pPr>
        <w:numPr>
          <w:ilvl w:val="1"/>
          <w:numId w:val="51"/>
        </w:numPr>
        <w:keepLines w:val="0"/>
        <w:keepNext w:val="0"/>
        <w:pageBreakBefore w:val="0"/>
        <w:spacing w:line="400" w:lineRule="exact"/>
        <w:widowControl w:val="off"/>
        <w:tabs>
          <w:tab w:val="left" w:pos="567" w:leader="none"/>
        </w:tabs>
        <w:rPr>
          <w:rFonts w:hint="default" w:ascii="宋体" w:hAnsi="宋体" w:eastAsia="宋体" w:cs="宋体"/>
          <w:color w:val="auto"/>
          <w:sz w:val="21"/>
          <w:szCs w:val="21"/>
          <w:highlight w:val="none"/>
          <w:lang w:val="en-US" w:eastAsia="zh-CN"/>
        </w:rPr>
        <w:outlineLvl w:val="9"/>
      </w:pPr>
      <w:r>
        <w:rPr>
          <w:rFonts w:hint="default" w:ascii="宋体" w:hAnsi="宋体" w:eastAsia="宋体" w:cs="宋体"/>
          <w:color w:val="auto"/>
          <w:sz w:val="21"/>
          <w:szCs w:val="21"/>
          <w:highlight w:val="none"/>
          <w:lang w:val="en-US" w:eastAsia="zh-CN"/>
        </w:rPr>
        <w:t xml:space="preserve">其他验收要求</w:t>
      </w:r>
      <w:r>
        <w:rPr>
          <w:rFonts w:hint="eastAsia" w:ascii="宋体" w:hAnsi="宋体" w:eastAsia="宋体" w:cs="宋体"/>
          <w:color w:val="auto"/>
          <w:sz w:val="21"/>
          <w:szCs w:val="21"/>
          <w:highlight w:val="none"/>
          <w:lang w:val="en-US" w:eastAsia="zh-CN"/>
        </w:rPr>
        <w:t xml:space="preserve">参</w:t>
      </w:r>
      <w:r>
        <w:rPr>
          <w:rFonts w:hint="default" w:ascii="宋体" w:hAnsi="宋体" w:eastAsia="宋体" w:cs="宋体"/>
          <w:color w:val="auto"/>
          <w:sz w:val="21"/>
          <w:szCs w:val="21"/>
          <w:highlight w:val="none"/>
          <w:lang w:val="en-US" w:eastAsia="zh-CN"/>
        </w:rPr>
        <w:t xml:space="preserve">照《江苏省政府采购履约验收管理办法》规定执行</w:t>
      </w:r>
      <w:r>
        <w:rPr>
          <w:rFonts w:hint="eastAsia" w:ascii="宋体" w:hAnsi="宋体" w:eastAsia="宋体" w:cs="宋体"/>
          <w:color w:val="auto"/>
          <w:sz w:val="21"/>
          <w:szCs w:val="21"/>
          <w:highlight w:val="none"/>
          <w:lang w:val="en-US" w:eastAsia="zh-CN"/>
        </w:rPr>
        <w:t xml:space="preserve">，考评实施细则详见附件</w:t>
      </w:r>
      <w:r>
        <w:rPr>
          <w:rFonts w:hint="default" w:ascii="宋体" w:hAnsi="宋体" w:eastAsia="宋体" w:cs="宋体"/>
          <w:color w:val="auto"/>
          <w:sz w:val="21"/>
          <w:szCs w:val="21"/>
          <w:highlight w:val="none"/>
          <w:lang w:val="en-US" w:eastAsia="zh-CN"/>
        </w:rPr>
        <w:t xml:space="preserve">。</w:t>
      </w:r>
      <w:r/>
    </w:p>
    <w:p>
      <w:pPr>
        <w:numPr>
          <w:ilvl w:val="0"/>
          <w:numId w:val="51"/>
        </w:numPr>
        <w:keepLines w:val="0"/>
        <w:keepNext w:val="0"/>
        <w:pageBreakBefore w:val="0"/>
        <w:spacing w:line="40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违约责任及不可抗力</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乙方不能提供服务的，或服务不合格的，乙方应向甲方赔偿损失，并向甲方偿付合同暂估总价款20%的违约金，且甲方有权解除合同。</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乙方逾期提供服务的，应与甲方和管理部门协商，甲方仍需求的，乙方应立即提供服务，并且每天按照合同</w:t>
      </w:r>
      <w:r>
        <w:rPr>
          <w:rFonts w:hint="eastAsia" w:ascii="宋体" w:hAnsi="宋体" w:cs="宋体"/>
          <w:color w:val="auto"/>
          <w:sz w:val="21"/>
          <w:szCs w:val="21"/>
          <w:highlight w:val="none"/>
          <w:lang w:val="en-US" w:eastAsia="zh-CN"/>
        </w:rPr>
        <w:t xml:space="preserve">预算</w:t>
      </w:r>
      <w:r>
        <w:rPr>
          <w:rFonts w:hint="eastAsia" w:ascii="宋体" w:hAnsi="宋体" w:eastAsia="宋体" w:cs="宋体"/>
          <w:color w:val="auto"/>
          <w:sz w:val="21"/>
          <w:szCs w:val="21"/>
          <w:highlight w:val="none"/>
        </w:rPr>
        <w:t xml:space="preserve">总价款的万分之四支付逾期违约金，同时承担甲方因此遭致的损失费用。乙方逾期提供服务超过甲方规定期限的，甲方有权解除合同，同时乙方承担甲方因此遭致的损失费用。</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政府采购合同的部分和全部都不得转让、分包，否则乙方应向甲方补偿损失，并向甲方偿付合同</w:t>
      </w:r>
      <w:r>
        <w:rPr>
          <w:rFonts w:hint="eastAsia" w:ascii="宋体" w:hAnsi="宋体" w:cs="宋体"/>
          <w:color w:val="auto"/>
          <w:sz w:val="21"/>
          <w:szCs w:val="21"/>
          <w:highlight w:val="none"/>
          <w:lang w:val="en-US" w:eastAsia="zh-CN"/>
        </w:rPr>
        <w:t xml:space="preserve">预算</w:t>
      </w:r>
      <w:r>
        <w:rPr>
          <w:rFonts w:hint="eastAsia" w:ascii="宋体" w:hAnsi="宋体" w:eastAsia="宋体" w:cs="宋体"/>
          <w:color w:val="auto"/>
          <w:sz w:val="21"/>
          <w:szCs w:val="21"/>
          <w:highlight w:val="none"/>
        </w:rPr>
        <w:t xml:space="preserve">总价款20%的违约金，如因此导致甲方产生损失的，乙方还应当另行赔偿，且甲方有权解除合同。</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甲乙双方对在本合同签订、履行过程中知悉的对方资料和信息，除对方做出相反的书面说明外，均应视为对方的商业秘密，未经对方书面同意不得向任何第三方泄漏或用于本合同以外的目的。若因乙方违反前述规定而给甲方造成损失的，甲方有权解除本合同并有权要求乙方赔偿一切直接、间接损失，并追究乙方合同暂估总价款百分之二十的违约金，乙方承担保密义务的期限为永久。无论合同是否变更、解除或终止，合同的保密条款不受其限制而继续有效，双方都应继续承担保密条款约定的保密义务。</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若因乙方侵犯第三方知识产权，发生第三方诉讼、社会舆论或甲方信誉受损等情形，甲方有权要求乙方赔偿损失（包括但不限于直接损失、间接损失、以及诉讼费、律师费、保全费、公告费、担保函费、执行费、鉴定费、差旅费等），并追究乙方合同暂估总价款百分之二十的违约金，且甲方有权解除合同，情节严重的涉及违法犯罪的，依法移送司法机关处理。</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甲方解除合同后，双方应对甲方已付款、乙方已提供合格服务的价款、违约金、损失等进行结算，多退少补。乙方任何违约行为给甲方造成罚款、上级通报、考核扣分、第三方索赔、诉讼、律师费、检测复测费、整改人工费等全部直接及间接损失，甲方均有权向乙方全额追偿，可直接在应付服务费、履约保证金中抵扣。</w:t>
      </w:r>
      <w:r/>
    </w:p>
    <w:p>
      <w:pPr>
        <w:numPr>
          <w:ilvl w:val="1"/>
          <w:numId w:val="51"/>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采购文件规定的其他违约情形及责任。</w:t>
      </w:r>
      <w:r/>
    </w:p>
    <w:p>
      <w:pPr>
        <w:numPr>
          <w:ilvl w:val="0"/>
          <w:numId w:val="51"/>
        </w:numPr>
        <w:keepLines w:val="0"/>
        <w:keepNext w:val="0"/>
        <w:pageBreakBefore w:val="0"/>
        <w:spacing w:line="400" w:lineRule="exact"/>
        <w:rPr>
          <w:rFonts w:ascii="宋体" w:hAnsi="宋体" w:cs="宋体"/>
          <w:b/>
          <w:color w:val="auto"/>
          <w:highlight w:val="none"/>
        </w:rPr>
      </w:pPr>
      <w:r>
        <w:rPr>
          <w:rFonts w:hint="eastAsia" w:ascii="宋体" w:hAnsi="宋体" w:cs="宋体"/>
          <w:b/>
          <w:color w:val="auto"/>
          <w:highlight w:val="none"/>
        </w:rPr>
        <w:t xml:space="preserve">不可抗力</w:t>
      </w:r>
      <w:r/>
    </w:p>
    <w:p>
      <w:pPr>
        <w:numPr>
          <w:ilvl w:val="1"/>
          <w:numId w:val="51"/>
        </w:numPr>
        <w:keepLines w:val="0"/>
        <w:keepNext w:val="0"/>
        <w:pageBreakBefore w:val="0"/>
        <w:spacing w:line="400" w:lineRule="exact"/>
        <w:rPr>
          <w:rFonts w:ascii="宋体" w:hAnsi="宋体" w:cs="宋体"/>
          <w:color w:val="auto"/>
          <w:highlight w:val="none"/>
        </w:rPr>
      </w:pPr>
      <w:r>
        <w:rPr>
          <w:rFonts w:hint="eastAsia" w:ascii="宋体" w:hAnsi="宋体" w:cs="宋体"/>
          <w:color w:val="auto"/>
          <w:highlight w:val="none"/>
        </w:rPr>
        <w:t xml:space="preserve">因不可抗力不能履行合同的，根据不可抗力的影响，部分或者全部免除责任。但合同一方延迟履行后发生不可抗力的，不能免除责任。</w:t>
      </w:r>
      <w:r/>
    </w:p>
    <w:p>
      <w:pPr>
        <w:numPr>
          <w:ilvl w:val="1"/>
          <w:numId w:val="51"/>
        </w:numPr>
        <w:keepLines w:val="0"/>
        <w:keepNext w:val="0"/>
        <w:pageBreakBefore w:val="0"/>
        <w:spacing w:line="400" w:lineRule="exact"/>
        <w:rPr>
          <w:rFonts w:hint="eastAsia" w:ascii="宋体" w:hAnsi="宋体" w:cs="宋体"/>
          <w:color w:val="auto"/>
          <w:highlight w:val="none"/>
        </w:rPr>
      </w:pP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numPr>
          <w:ilvl w:val="1"/>
          <w:numId w:val="51"/>
        </w:numPr>
        <w:keepLines w:val="0"/>
        <w:keepNext w:val="0"/>
        <w:pageBreakBefore w:val="0"/>
        <w:spacing w:line="400" w:lineRule="exact"/>
        <w:rPr>
          <w:rFonts w:ascii="宋体" w:hAnsi="宋体" w:cs="宋体"/>
          <w:color w:val="auto"/>
          <w:highlight w:val="none"/>
        </w:rPr>
      </w:pPr>
      <w:r>
        <w:rPr>
          <w:rFonts w:hint="eastAsia" w:ascii="宋体" w:hAnsi="宋体" w:cs="宋体"/>
          <w:color w:val="auto"/>
          <w:highlight w:val="none"/>
        </w:rPr>
        <w:t xml:space="preserve">仅自然灾害、政府全域停工管控等客观无法履职情形属于不可抗力；乙方设备故障、人员不足、车辆故障、内部运营问题不属于不可抗力，不得以此延期、免责。发生不可抗力后乙方复工须免费补做缺失巡查、走航、报告任务，不得要求增加费用。</w:t>
      </w:r>
      <w:r/>
    </w:p>
    <w:p>
      <w:pPr>
        <w:numPr>
          <w:ilvl w:val="0"/>
          <w:numId w:val="51"/>
        </w:numPr>
        <w:keepLines w:val="0"/>
        <w:keepNext w:val="0"/>
        <w:pageBreakBefore w:val="0"/>
        <w:spacing w:line="400" w:lineRule="exact"/>
        <w:rPr>
          <w:rFonts w:ascii="宋体" w:hAnsi="宋体" w:cs="宋体"/>
          <w:b/>
          <w:color w:val="auto"/>
          <w:highlight w:val="none"/>
        </w:rPr>
      </w:pPr>
      <w:r>
        <w:rPr>
          <w:rFonts w:hint="eastAsia" w:ascii="宋体" w:hAnsi="宋体" w:cs="宋体"/>
          <w:b/>
          <w:color w:val="auto"/>
          <w:highlight w:val="none"/>
        </w:rPr>
        <w:t xml:space="preserve">合同修改</w:t>
      </w:r>
      <w:r/>
    </w:p>
    <w:p>
      <w:pPr>
        <w:numPr>
          <w:ilvl w:val="1"/>
          <w:numId w:val="51"/>
        </w:numPr>
        <w:keepLines w:val="0"/>
        <w:keepNext w:val="0"/>
        <w:pageBreakBefore w:val="0"/>
        <w:spacing w:line="400" w:lineRule="exact"/>
        <w:rPr>
          <w:rFonts w:ascii="宋体" w:hAnsi="宋体" w:cs="宋体"/>
          <w:color w:val="auto"/>
          <w:highlight w:val="none"/>
        </w:rPr>
      </w:pPr>
      <w:r>
        <w:rPr>
          <w:rFonts w:hint="eastAsia" w:ascii="宋体" w:hAnsi="宋体" w:cs="宋体"/>
          <w:color w:val="auto"/>
          <w:highlight w:val="none"/>
        </w:rPr>
        <w:t xml:space="preserve">甲方和乙方都不得擅自变更本合同，但合同继续履行将损害国家和社会公共利益的除外。</w:t>
      </w:r>
      <w:r/>
    </w:p>
    <w:p>
      <w:pPr>
        <w:numPr>
          <w:ilvl w:val="0"/>
          <w:numId w:val="51"/>
        </w:numPr>
        <w:keepLines w:val="0"/>
        <w:keepNext w:val="0"/>
        <w:pageBreakBefore w:val="0"/>
        <w:spacing w:line="400" w:lineRule="exact"/>
        <w:rPr>
          <w:rFonts w:ascii="宋体" w:hAnsi="宋体" w:cs="宋体"/>
          <w:b/>
          <w:color w:val="auto"/>
          <w:highlight w:val="none"/>
        </w:rPr>
      </w:pPr>
      <w:r>
        <w:rPr>
          <w:rFonts w:hint="eastAsia" w:ascii="宋体" w:hAnsi="宋体" w:cs="宋体"/>
          <w:b/>
          <w:color w:val="auto"/>
          <w:highlight w:val="none"/>
        </w:rPr>
        <w:t xml:space="preserve">转让和分包</w:t>
      </w:r>
      <w:r/>
    </w:p>
    <w:p>
      <w:pPr>
        <w:numPr>
          <w:ilvl w:val="1"/>
          <w:numId w:val="51"/>
        </w:numPr>
        <w:keepLines w:val="0"/>
        <w:keepNext w:val="0"/>
        <w:pageBreakBefore w:val="0"/>
        <w:spacing w:line="400" w:lineRule="exact"/>
        <w:rPr>
          <w:rFonts w:ascii="宋体" w:hAnsi="宋体" w:cs="宋体"/>
          <w:color w:val="auto"/>
          <w:highlight w:val="none"/>
        </w:rPr>
      </w:pPr>
      <w:r>
        <w:rPr>
          <w:rFonts w:hint="eastAsia" w:ascii="宋体" w:hAnsi="宋体" w:cs="宋体"/>
          <w:color w:val="auto"/>
          <w:highlight w:val="none"/>
        </w:rPr>
        <w:t xml:space="preserve">采购合同的部分和全部都不得转让、分包。</w:t>
      </w:r>
      <w:r/>
    </w:p>
    <w:p>
      <w:pPr>
        <w:numPr>
          <w:ilvl w:val="0"/>
          <w:numId w:val="51"/>
        </w:numPr>
        <w:keepLines w:val="0"/>
        <w:keepNext w:val="0"/>
        <w:pageBreakBefore w:val="0"/>
        <w:spacing w:line="400" w:lineRule="exact"/>
        <w:rPr>
          <w:rFonts w:ascii="宋体" w:hAnsi="宋体" w:cs="宋体"/>
          <w:b/>
          <w:color w:val="auto"/>
          <w:highlight w:val="none"/>
        </w:rPr>
      </w:pPr>
      <w:r>
        <w:rPr>
          <w:rFonts w:hint="eastAsia" w:ascii="宋体" w:hAnsi="宋体" w:cs="宋体"/>
          <w:b/>
          <w:color w:val="auto"/>
          <w:highlight w:val="none"/>
        </w:rPr>
        <w:t xml:space="preserve">合同的解除</w:t>
      </w:r>
      <w:r/>
    </w:p>
    <w:p>
      <w:pPr>
        <w:numPr>
          <w:ilvl w:val="1"/>
          <w:numId w:val="51"/>
        </w:numPr>
        <w:keepLines w:val="0"/>
        <w:keepNext w:val="0"/>
        <w:pageBreakBefore w:val="0"/>
        <w:spacing w:line="400" w:lineRule="exact"/>
        <w:rPr>
          <w:rFonts w:ascii="宋体" w:hAnsi="宋体" w:cs="宋体"/>
          <w:color w:val="auto"/>
          <w:highlight w:val="none"/>
        </w:rPr>
      </w:pPr>
      <w:r>
        <w:rPr>
          <w:rFonts w:hint="eastAsia" w:ascii="宋体" w:hAnsi="宋体" w:cs="宋体"/>
          <w:color w:val="auto"/>
          <w:highlight w:val="none"/>
        </w:rPr>
        <w:t xml:space="preserve">有下列情形之一，合同一方可以解除合同：</w:t>
      </w:r>
      <w:r/>
    </w:p>
    <w:p>
      <w:pPr>
        <w:numPr>
          <w:ilvl w:val="0"/>
          <w:numId w:val="57"/>
        </w:numPr>
        <w:ind w:left="993" w:hanging="426"/>
        <w:keepLines w:val="0"/>
        <w:keepNext w:val="0"/>
        <w:pageBreakBefore w:val="0"/>
        <w:spacing w:line="400" w:lineRule="exact"/>
        <w:tabs>
          <w:tab w:val="left" w:pos="993" w:leader="none"/>
        </w:tabs>
        <w:rPr>
          <w:rFonts w:ascii="宋体" w:hAnsi="宋体" w:cs="宋体"/>
          <w:color w:val="auto"/>
          <w:szCs w:val="21"/>
          <w:highlight w:val="none"/>
        </w:rPr>
      </w:pPr>
      <w:r>
        <w:rPr>
          <w:rFonts w:hint="eastAsia" w:ascii="宋体" w:hAnsi="宋体" w:cs="宋体"/>
          <w:color w:val="auto"/>
          <w:szCs w:val="21"/>
          <w:highlight w:val="none"/>
        </w:rPr>
        <w:t xml:space="preserve">因不可抗力致使不能实现合同目的，未受不可抗力影响的一方有权解除合同；</w:t>
      </w:r>
      <w:r/>
    </w:p>
    <w:p>
      <w:pPr>
        <w:numPr>
          <w:ilvl w:val="0"/>
          <w:numId w:val="57"/>
        </w:numPr>
        <w:ind w:left="993" w:hanging="426"/>
        <w:keepLines w:val="0"/>
        <w:keepNext w:val="0"/>
        <w:pageBreakBefore w:val="0"/>
        <w:spacing w:line="400" w:lineRule="exact"/>
        <w:tabs>
          <w:tab w:val="left" w:pos="993" w:leader="none"/>
        </w:tabs>
        <w:rPr>
          <w:rFonts w:ascii="宋体" w:hAnsi="宋体" w:cs="宋体"/>
          <w:color w:val="auto"/>
          <w:szCs w:val="21"/>
          <w:highlight w:val="none"/>
        </w:rPr>
      </w:pPr>
      <w:r>
        <w:rPr>
          <w:rFonts w:hint="eastAsia" w:ascii="宋体" w:hAnsi="宋体" w:cs="宋体"/>
          <w:color w:val="auto"/>
          <w:szCs w:val="21"/>
          <w:highlight w:val="none"/>
        </w:rPr>
        <w:t xml:space="preserve">因合同一方违约导致合同不能履行，另一方有权解除合同。</w:t>
      </w:r>
      <w:r/>
    </w:p>
    <w:p>
      <w:pPr>
        <w:numPr>
          <w:ilvl w:val="1"/>
          <w:numId w:val="51"/>
        </w:numPr>
        <w:keepLines w:val="0"/>
        <w:keepNext w:val="0"/>
        <w:pageBreakBefore w:val="0"/>
        <w:spacing w:line="400" w:lineRule="exact"/>
        <w:rPr>
          <w:rFonts w:hint="eastAsia" w:ascii="宋体" w:hAnsi="宋体" w:cs="宋体"/>
          <w:color w:val="auto"/>
          <w:highlight w:val="none"/>
        </w:rPr>
      </w:pPr>
      <w:r>
        <w:rPr>
          <w:rFonts w:hint="eastAsia" w:ascii="宋体" w:hAnsi="宋体" w:cs="宋体"/>
          <w:color w:val="auto"/>
          <w:highlight w:val="none"/>
        </w:rPr>
        <w:t xml:space="preserve">有权解除合同的一方，应当在违约事实或不可抗力发生之后三十天内书面通知对方以主张解除合同，合同在书面通知到达对方时解除。</w:t>
      </w:r>
      <w:r/>
    </w:p>
    <w:p>
      <w:pPr>
        <w:numPr>
          <w:ilvl w:val="1"/>
          <w:numId w:val="51"/>
        </w:numPr>
        <w:keepLines w:val="0"/>
        <w:keepNext w:val="0"/>
        <w:pageBreakBefore w:val="0"/>
        <w:spacing w:line="400" w:lineRule="exact"/>
        <w:rPr>
          <w:rFonts w:hint="eastAsia" w:ascii="宋体" w:hAnsi="宋体" w:cs="宋体"/>
          <w:color w:val="auto"/>
          <w:highlight w:val="none"/>
        </w:rPr>
      </w:pPr>
      <w:r>
        <w:rPr>
          <w:rFonts w:hint="eastAsia" w:ascii="宋体" w:hAnsi="宋体" w:cs="宋体"/>
          <w:color w:val="auto"/>
          <w:highlight w:val="none"/>
        </w:rPr>
        <w:t xml:space="preserve">乙方发生注销、经营异常、资质失效、人员全部流失、设备无法正常使用，导致无法持续提供服务的，甲方可单方无责解除合同，乙方退还剩余未履约部分对应服务费；</w:t>
      </w:r>
      <w:r/>
    </w:p>
    <w:p>
      <w:pPr>
        <w:numPr>
          <w:ilvl w:val="1"/>
          <w:numId w:val="51"/>
        </w:numPr>
        <w:keepLines w:val="0"/>
        <w:keepNext w:val="0"/>
        <w:pageBreakBefore w:val="0"/>
        <w:spacing w:line="400" w:lineRule="exact"/>
        <w:rPr>
          <w:rFonts w:hint="eastAsia" w:ascii="宋体" w:hAnsi="宋体" w:cs="宋体"/>
          <w:color w:val="auto"/>
          <w:highlight w:val="none"/>
        </w:rPr>
      </w:pPr>
      <w:r>
        <w:rPr>
          <w:rFonts w:hint="eastAsia" w:ascii="宋体" w:hAnsi="宋体" w:cs="宋体"/>
          <w:color w:val="auto"/>
          <w:highlight w:val="none"/>
        </w:rPr>
        <w:t xml:space="preserve">合同解除后 3 日内乙方须移交全部原始数据、台账、监测设备后台权限、所有纸质电子成果，逾期移交每日按合同总价万分之四支付占用违约金。</w:t>
      </w:r>
      <w:r/>
    </w:p>
    <w:p>
      <w:pPr>
        <w:numPr>
          <w:ilvl w:val="0"/>
          <w:numId w:val="51"/>
        </w:numPr>
        <w:keepLines w:val="0"/>
        <w:keepNext w:val="0"/>
        <w:pageBreakBefore w:val="0"/>
        <w:spacing w:line="400" w:lineRule="exact"/>
        <w:rPr>
          <w:rFonts w:ascii="宋体" w:hAnsi="宋体" w:cs="宋体"/>
          <w:b/>
          <w:color w:val="auto"/>
          <w:highlight w:val="none"/>
        </w:rPr>
      </w:pPr>
      <w:r>
        <w:rPr>
          <w:rFonts w:hint="eastAsia" w:ascii="宋体" w:hAnsi="宋体" w:cs="宋体"/>
          <w:b/>
          <w:color w:val="auto"/>
          <w:highlight w:val="none"/>
        </w:rPr>
        <w:t xml:space="preserve">争议解决办法</w:t>
      </w:r>
      <w:r/>
    </w:p>
    <w:p>
      <w:pPr>
        <w:ind w:firstLine="539"/>
        <w:keepLines w:val="0"/>
        <w:keepNext w:val="0"/>
        <w:pageBreakBefore w:val="0"/>
        <w:spacing w:line="400" w:lineRule="exact"/>
        <w:rPr>
          <w:rFonts w:ascii="宋体" w:hAnsi="宋体" w:cs="宋体"/>
          <w:color w:val="auto"/>
          <w:highlight w:val="none"/>
        </w:rPr>
      </w:pPr>
      <w:r>
        <w:rPr>
          <w:rFonts w:hint="eastAsia" w:ascii="宋体" w:hAnsi="宋体" w:cs="宋体"/>
          <w:color w:val="auto"/>
          <w:highlight w:val="none"/>
        </w:rPr>
        <w:t xml:space="preserve">因本合同或与本合同有关的一切事项发生争议，由双方友好协商解决。协商不成的，任何一方均可选择以下方式解决：</w:t>
      </w:r>
      <w:r/>
    </w:p>
    <w:p>
      <w:pPr>
        <w:ind w:firstLine="539"/>
        <w:keepLines w:val="0"/>
        <w:keepNext w:val="0"/>
        <w:pageBreakBefore w:val="0"/>
        <w:spacing w:line="400" w:lineRule="exact"/>
        <w:rPr>
          <w:rFonts w:ascii="宋体" w:hAnsi="宋体" w:cs="宋体"/>
          <w:color w:val="auto"/>
          <w:highlight w:val="none"/>
        </w:rPr>
      </w:pPr>
      <w:r>
        <w:rPr>
          <w:rFonts w:hint="eastAsia" w:ascii="宋体" w:hAnsi="宋体" w:cs="宋体"/>
          <w:color w:val="auto"/>
          <w:highlight w:val="none"/>
        </w:rPr>
        <w:t xml:space="preserve">向甲方所在地的人民法院起诉。</w:t>
      </w:r>
      <w:r/>
    </w:p>
    <w:p>
      <w:pPr>
        <w:numPr>
          <w:ilvl w:val="0"/>
          <w:numId w:val="51"/>
        </w:numPr>
        <w:keepLines w:val="0"/>
        <w:keepNext w:val="0"/>
        <w:pageBreakBefore w:val="0"/>
        <w:spacing w:line="400" w:lineRule="exact"/>
        <w:rPr>
          <w:rFonts w:ascii="宋体" w:hAnsi="宋体" w:cs="宋体"/>
          <w:b/>
          <w:color w:val="auto"/>
          <w:highlight w:val="none"/>
        </w:rPr>
      </w:pPr>
      <w:r>
        <w:rPr>
          <w:rFonts w:hint="eastAsia" w:ascii="宋体" w:hAnsi="宋体" w:cs="宋体"/>
          <w:b/>
          <w:color w:val="auto"/>
          <w:highlight w:val="none"/>
        </w:rPr>
        <w:t xml:space="preserve">合同生效及其他</w:t>
      </w:r>
      <w:r/>
    </w:p>
    <w:p>
      <w:pPr>
        <w:numPr>
          <w:ilvl w:val="1"/>
          <w:numId w:val="51"/>
        </w:numPr>
        <w:keepLines w:val="0"/>
        <w:keepNext w:val="0"/>
        <w:pageBreakBefore w:val="0"/>
        <w:spacing w:line="400" w:lineRule="exact"/>
        <w:rPr>
          <w:rFonts w:ascii="宋体" w:hAnsi="宋体" w:cs="宋体"/>
          <w:color w:val="auto"/>
          <w:highlight w:val="none"/>
        </w:rPr>
      </w:pPr>
      <w:r>
        <w:rPr>
          <w:rFonts w:hint="eastAsia" w:ascii="宋体" w:hAnsi="宋体" w:cs="宋体"/>
          <w:color w:val="auto"/>
          <w:highlight w:val="none"/>
        </w:rPr>
        <w:t xml:space="preserve">本合同经双方签字并盖公章后生效。</w:t>
      </w:r>
      <w:r/>
    </w:p>
    <w:p>
      <w:pPr>
        <w:numPr>
          <w:ilvl w:val="1"/>
          <w:numId w:val="51"/>
        </w:numPr>
        <w:keepLines w:val="0"/>
        <w:keepNext w:val="0"/>
        <w:pageBreakBefore w:val="0"/>
        <w:spacing w:line="400" w:lineRule="exact"/>
        <w:rPr>
          <w:rFonts w:ascii="宋体" w:hAnsi="宋体" w:cs="宋体"/>
          <w:color w:val="auto"/>
          <w:highlight w:val="none"/>
        </w:rPr>
      </w:pPr>
      <w:r>
        <w:rPr>
          <w:rFonts w:hint="eastAsia" w:ascii="宋体" w:hAnsi="宋体" w:cs="宋体"/>
          <w:color w:val="auto"/>
          <w:highlight w:val="none"/>
        </w:rPr>
        <w:t xml:space="preserve">下列文件为本合同不可分割部分：</w:t>
      </w:r>
      <w:r/>
    </w:p>
    <w:p>
      <w:pPr>
        <w:numPr>
          <w:ilvl w:val="0"/>
          <w:numId w:val="58"/>
        </w:numPr>
        <w:ind w:left="993" w:hanging="426"/>
        <w:keepLines w:val="0"/>
        <w:keepNext w:val="0"/>
        <w:pageBreakBefore w:val="0"/>
        <w:spacing w:line="400" w:lineRule="exact"/>
        <w:tabs>
          <w:tab w:val="left" w:pos="993" w:leader="none"/>
        </w:tabs>
        <w:rPr>
          <w:rFonts w:ascii="宋体" w:hAnsi="宋体" w:cs="宋体"/>
          <w:color w:val="auto"/>
          <w:szCs w:val="21"/>
          <w:highlight w:val="none"/>
        </w:rPr>
      </w:pPr>
      <w:r>
        <w:rPr>
          <w:rFonts w:hint="eastAsia" w:ascii="宋体" w:hAnsi="宋体" w:cs="宋体"/>
          <w:color w:val="auto"/>
          <w:szCs w:val="21"/>
          <w:highlight w:val="none"/>
        </w:rPr>
        <w:t xml:space="preserve">成交通知书；</w:t>
      </w:r>
      <w:r/>
    </w:p>
    <w:p>
      <w:pPr>
        <w:numPr>
          <w:ilvl w:val="0"/>
          <w:numId w:val="58"/>
        </w:numPr>
        <w:ind w:left="993" w:hanging="426"/>
        <w:keepLines w:val="0"/>
        <w:keepNext w:val="0"/>
        <w:pageBreakBefore w:val="0"/>
        <w:spacing w:line="400" w:lineRule="exact"/>
        <w:tabs>
          <w:tab w:val="left" w:pos="993" w:leader="none"/>
        </w:tabs>
        <w:rPr>
          <w:rFonts w:ascii="宋体" w:hAnsi="宋体" w:cs="宋体"/>
          <w:color w:val="auto"/>
          <w:szCs w:val="21"/>
          <w:highlight w:val="none"/>
        </w:rPr>
      </w:pPr>
      <w:r>
        <w:rPr>
          <w:rFonts w:hint="eastAsia" w:ascii="宋体" w:hAnsi="宋体" w:cs="宋体"/>
          <w:color w:val="auto"/>
          <w:szCs w:val="21"/>
          <w:highlight w:val="none"/>
        </w:rPr>
        <w:t xml:space="preserve">磋商文件；</w:t>
      </w:r>
      <w:r/>
    </w:p>
    <w:p>
      <w:pPr>
        <w:numPr>
          <w:ilvl w:val="0"/>
          <w:numId w:val="58"/>
        </w:numPr>
        <w:ind w:left="993" w:hanging="426"/>
        <w:keepLines w:val="0"/>
        <w:keepNext w:val="0"/>
        <w:pageBreakBefore w:val="0"/>
        <w:spacing w:line="400" w:lineRule="exact"/>
        <w:tabs>
          <w:tab w:val="left" w:pos="993" w:leader="none"/>
        </w:tabs>
        <w:rPr>
          <w:rFonts w:ascii="宋体" w:hAnsi="宋体" w:cs="宋体"/>
          <w:color w:val="auto"/>
          <w:szCs w:val="21"/>
          <w:highlight w:val="none"/>
        </w:rPr>
      </w:pPr>
      <w:r>
        <w:rPr>
          <w:rFonts w:hint="eastAsia" w:ascii="宋体" w:hAnsi="宋体" w:cs="宋体"/>
          <w:color w:val="auto"/>
          <w:szCs w:val="21"/>
          <w:highlight w:val="none"/>
        </w:rPr>
        <w:t xml:space="preserve">乙方响应文件；</w:t>
      </w:r>
      <w:r/>
    </w:p>
    <w:p>
      <w:pPr>
        <w:numPr>
          <w:ilvl w:val="0"/>
          <w:numId w:val="58"/>
        </w:numPr>
        <w:ind w:left="993" w:hanging="426"/>
        <w:keepLines w:val="0"/>
        <w:keepNext w:val="0"/>
        <w:pageBreakBefore w:val="0"/>
        <w:spacing w:line="400" w:lineRule="exact"/>
        <w:tabs>
          <w:tab w:val="left" w:pos="993" w:leader="none"/>
        </w:tabs>
        <w:rPr>
          <w:rFonts w:ascii="宋体" w:hAnsi="宋体" w:cs="宋体"/>
          <w:color w:val="auto"/>
          <w:szCs w:val="21"/>
          <w:highlight w:val="none"/>
        </w:rPr>
      </w:pPr>
      <w:r>
        <w:rPr>
          <w:rFonts w:hint="eastAsia" w:ascii="宋体" w:hAnsi="宋体" w:cs="宋体"/>
          <w:color w:val="auto"/>
          <w:szCs w:val="21"/>
          <w:highlight w:val="none"/>
        </w:rPr>
        <w:t xml:space="preserve">乙方在磋商过程中所作的其他承诺、声明、书面澄清等。</w:t>
      </w:r>
      <w:r/>
    </w:p>
    <w:p>
      <w:pPr>
        <w:numPr>
          <w:ilvl w:val="0"/>
          <w:numId w:val="51"/>
        </w:numPr>
        <w:keepLines w:val="0"/>
        <w:keepNext w:val="0"/>
        <w:pageBreakBefore w:val="0"/>
        <w:spacing w:line="400" w:lineRule="exact"/>
        <w:rPr>
          <w:rFonts w:ascii="宋体" w:hAnsi="宋体" w:cs="宋体"/>
          <w:b/>
          <w:color w:val="auto"/>
          <w:highlight w:val="none"/>
        </w:rPr>
      </w:pPr>
      <w:r>
        <w:rPr>
          <w:rFonts w:hint="eastAsia" w:ascii="宋体" w:hAnsi="宋体" w:cs="宋体"/>
          <w:b/>
          <w:color w:val="auto"/>
          <w:highlight w:val="none"/>
        </w:rPr>
        <w:t xml:space="preserve">未尽事宜</w:t>
      </w:r>
      <w:r/>
    </w:p>
    <w:p>
      <w:pPr>
        <w:keepLines w:val="0"/>
        <w:keepNext w:val="0"/>
        <w:pageBreakBefore w:val="0"/>
        <w:spacing w:line="400" w:lineRule="exact"/>
        <w:rPr>
          <w:rFonts w:ascii="宋体" w:hAnsi="宋体" w:cs="宋体"/>
          <w:color w:val="auto"/>
          <w:highlight w:val="none"/>
        </w:rPr>
      </w:pPr>
      <w:r>
        <w:rPr>
          <w:rFonts w:hint="eastAsia" w:ascii="宋体" w:hAnsi="宋体" w:cs="宋体"/>
          <w:color w:val="auto"/>
          <w:highlight w:val="none"/>
        </w:rPr>
        <w:t xml:space="preserve">未尽事宜按照《中华人民共和国民法典》、《中华人民共和国政府采购法》等相关法律法规之规定解释。</w:t>
      </w:r>
      <w:r/>
    </w:p>
    <w:p>
      <w:pPr>
        <w:numPr>
          <w:ilvl w:val="0"/>
          <w:numId w:val="51"/>
        </w:numPr>
        <w:keepLines w:val="0"/>
        <w:keepNext w:val="0"/>
        <w:pageBreakBefore w:val="0"/>
        <w:spacing w:line="400" w:lineRule="exact"/>
        <w:rPr>
          <w:rFonts w:ascii="宋体" w:hAnsi="宋体" w:cs="宋体"/>
          <w:b/>
          <w:color w:val="auto"/>
          <w:highlight w:val="none"/>
        </w:rPr>
      </w:pPr>
      <w:r>
        <w:rPr>
          <w:rFonts w:hint="eastAsia" w:ascii="宋体" w:hAnsi="宋体" w:cs="宋体"/>
          <w:b/>
          <w:color w:val="auto"/>
          <w:highlight w:val="none"/>
        </w:rPr>
        <w:t xml:space="preserve">附则</w:t>
      </w:r>
      <w:r/>
    </w:p>
    <w:p>
      <w:pPr>
        <w:ind w:firstLine="539"/>
        <w:keepLines w:val="0"/>
        <w:keepNext w:val="0"/>
        <w:pageBreakBefore w:val="0"/>
        <w:spacing w:line="400" w:lineRule="exact"/>
        <w:rPr>
          <w:rFonts w:ascii="宋体" w:cs="仿宋_GB2312"/>
          <w:color w:val="auto"/>
          <w:szCs w:val="21"/>
          <w:highlight w:val="none"/>
        </w:rPr>
      </w:pPr>
      <w:r>
        <w:rPr>
          <w:rFonts w:hint="eastAsia" w:ascii="宋体" w:cs="仿宋_GB2312"/>
          <w:color w:val="auto"/>
          <w:szCs w:val="21"/>
          <w:highlight w:val="none"/>
        </w:rPr>
        <w:t xml:space="preserve">本</w:t>
      </w:r>
      <w:r>
        <w:rPr>
          <w:rFonts w:hint="eastAsia" w:ascii="宋体" w:hAnsi="宋体" w:cs="宋体"/>
          <w:color w:val="auto"/>
          <w:highlight w:val="none"/>
        </w:rPr>
        <w:t xml:space="preserve">合同</w:t>
      </w:r>
      <w:r>
        <w:rPr>
          <w:rFonts w:hint="eastAsia" w:ascii="宋体" w:cs="仿宋_GB2312"/>
          <w:color w:val="auto"/>
          <w:szCs w:val="21"/>
          <w:highlight w:val="none"/>
        </w:rPr>
        <w:t xml:space="preserve">一式</w:t>
      </w:r>
      <w:r>
        <w:rPr>
          <w:rFonts w:hint="eastAsia" w:ascii="宋体" w:cs="仿宋_GB2312"/>
          <w:color w:val="auto"/>
          <w:szCs w:val="21"/>
          <w:highlight w:val="none"/>
          <w:u w:val="single"/>
        </w:rPr>
        <w:t xml:space="preserve">五</w:t>
      </w:r>
      <w:r>
        <w:rPr>
          <w:rFonts w:hint="eastAsia" w:ascii="宋体" w:cs="仿宋_GB2312"/>
          <w:color w:val="auto"/>
          <w:szCs w:val="21"/>
          <w:highlight w:val="none"/>
        </w:rPr>
        <w:t xml:space="preserve">份，甲、乙方各执</w:t>
      </w:r>
      <w:r>
        <w:rPr>
          <w:rFonts w:hint="eastAsia" w:ascii="宋体" w:cs="仿宋_GB2312"/>
          <w:color w:val="auto"/>
          <w:szCs w:val="21"/>
          <w:highlight w:val="none"/>
          <w:u w:val="single"/>
        </w:rPr>
        <w:t xml:space="preserve">两</w:t>
      </w:r>
      <w:r>
        <w:rPr>
          <w:rFonts w:hint="eastAsia" w:ascii="宋体" w:cs="仿宋_GB2312"/>
          <w:color w:val="auto"/>
          <w:szCs w:val="21"/>
          <w:highlight w:val="none"/>
        </w:rPr>
        <w:t xml:space="preserve">份，采购代理机构一份。</w:t>
      </w:r>
      <w:r/>
    </w:p>
    <w:p>
      <w:pPr>
        <w:ind w:firstLine="420"/>
        <w:jc w:val="both"/>
        <w:spacing w:line="360" w:lineRule="auto"/>
        <w:rPr>
          <w:rFonts w:hint="eastAsia" w:ascii="宋体" w:cs="宋体"/>
          <w:color w:val="auto"/>
          <w:szCs w:val="21"/>
          <w:highlight w:val="none"/>
        </w:rPr>
        <w:outlineLvl w:val="0"/>
      </w:pPr>
      <w:r>
        <w:rPr>
          <w:rFonts w:hint="eastAsia" w:ascii="宋体" w:cs="宋体"/>
          <w:color w:val="auto"/>
          <w:szCs w:val="21"/>
          <w:highlight w:val="none"/>
        </w:rPr>
      </w:r>
      <w:r/>
    </w:p>
    <w:p>
      <w:pPr>
        <w:ind w:firstLine="420"/>
        <w:jc w:val="both"/>
        <w:spacing w:line="360" w:lineRule="auto"/>
        <w:rPr>
          <w:rFonts w:hint="eastAsia" w:ascii="宋体" w:cs="宋体"/>
          <w:color w:val="auto"/>
          <w:szCs w:val="21"/>
          <w:highlight w:val="none"/>
        </w:rPr>
        <w:outlineLvl w:val="0"/>
      </w:pPr>
      <w:r>
        <w:rPr>
          <w:rFonts w:hint="eastAsia" w:ascii="宋体" w:cs="宋体"/>
          <w:color w:val="auto"/>
          <w:szCs w:val="21"/>
          <w:highlight w:val="none"/>
        </w:rPr>
        <w:t xml:space="preserve">（以下无</w:t>
      </w:r>
      <w:r>
        <w:rPr>
          <w:rFonts w:hint="eastAsia" w:ascii="宋体" w:cs="宋体"/>
          <w:color w:val="auto"/>
          <w:szCs w:val="21"/>
          <w:highlight w:val="none"/>
          <w:lang w:val="en-US" w:eastAsia="zh-CN"/>
        </w:rPr>
        <w:t xml:space="preserve">合同</w:t>
      </w:r>
      <w:r>
        <w:rPr>
          <w:rFonts w:hint="eastAsia" w:ascii="宋体" w:cs="宋体"/>
          <w:color w:val="auto"/>
          <w:szCs w:val="21"/>
          <w:highlight w:val="none"/>
        </w:rPr>
        <w:t xml:space="preserve">正文）</w:t>
      </w:r>
      <w:r/>
    </w:p>
    <w:p>
      <w:pPr>
        <w:rPr>
          <w:rFonts w:ascii="宋体" w:hAnsi="宋体"/>
          <w:b/>
          <w:color w:val="auto"/>
          <w:sz w:val="32"/>
          <w:highlight w:val="none"/>
        </w:rPr>
      </w:pPr>
      <w:r>
        <w:rPr>
          <w:rFonts w:ascii="宋体" w:hAnsi="宋体"/>
          <w:b/>
          <w:color w:val="auto"/>
          <w:sz w:val="32"/>
          <w:highlight w:val="none"/>
        </w:rPr>
        <w:br w:type="page" w:clear="all"/>
      </w:r>
      <w:r/>
    </w:p>
    <w:p>
      <w:pPr>
        <w:jc w:val="both"/>
        <w:spacing w:line="360" w:lineRule="auto"/>
        <w:rPr>
          <w:rFonts w:hint="eastAsia" w:ascii="宋体" w:cs="宋体"/>
          <w:color w:val="auto"/>
          <w:szCs w:val="21"/>
          <w:highlight w:val="none"/>
          <w:lang w:val="en-US" w:eastAsia="zh-CN"/>
        </w:rPr>
        <w:outlineLvl w:val="0"/>
      </w:pPr>
      <w:r>
        <w:rPr>
          <w:rFonts w:hint="eastAsia" w:ascii="宋体" w:cs="宋体"/>
          <w:color w:val="auto"/>
          <w:szCs w:val="21"/>
          <w:highlight w:val="none"/>
          <w:lang w:val="en-US" w:eastAsia="zh-CN"/>
        </w:rPr>
        <w:t xml:space="preserve">合同附件：</w:t>
      </w:r>
      <w:r/>
    </w:p>
    <w:p>
      <w:pPr>
        <w:jc w:val="center"/>
        <w:rPr>
          <w:rFonts w:hint="default" w:ascii="宋体" w:hAnsi="宋体" w:eastAsia="宋体" w:cs="Times New Roman"/>
          <w:color w:val="auto"/>
          <w:sz w:val="36"/>
          <w:szCs w:val="36"/>
          <w:highlight w:val="none"/>
        </w:rPr>
      </w:pPr>
      <w:r>
        <w:rPr>
          <w:rFonts w:hint="eastAsia" w:ascii="宋体" w:hAnsi="宋体" w:cs="Times New Roman"/>
          <w:color w:val="auto"/>
          <w:sz w:val="36"/>
          <w:szCs w:val="36"/>
          <w:highlight w:val="none"/>
          <w:lang w:val="en-US" w:eastAsia="zh-CN"/>
        </w:rPr>
        <w:t xml:space="preserve">一标段：</w:t>
      </w:r>
      <w:r>
        <w:rPr>
          <w:rFonts w:hint="eastAsia" w:ascii="宋体" w:hAnsi="宋体" w:eastAsia="宋体" w:cs="Times New Roman"/>
          <w:color w:val="auto"/>
          <w:sz w:val="36"/>
          <w:szCs w:val="36"/>
          <w:highlight w:val="none"/>
          <w:lang w:val="en-US" w:eastAsia="zh-CN"/>
        </w:rPr>
        <w:t xml:space="preserve">环境空气质量巡查服务</w:t>
      </w:r>
      <w:r>
        <w:rPr>
          <w:rFonts w:hint="default" w:ascii="宋体" w:hAnsi="宋体" w:eastAsia="宋体" w:cs="Times New Roman"/>
          <w:color w:val="auto"/>
          <w:sz w:val="36"/>
          <w:szCs w:val="36"/>
          <w:highlight w:val="none"/>
        </w:rPr>
        <w:t xml:space="preserve">综合考评实施细则</w:t>
      </w:r>
      <w:r/>
    </w:p>
    <w:tbl>
      <w:tblPr>
        <w:tblStyle w:val="962"/>
        <w:tblW w:w="99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23"/>
        <w:gridCol w:w="3137"/>
        <w:gridCol w:w="3205"/>
        <w:gridCol w:w="1350"/>
      </w:tblGrid>
      <w:tr>
        <w:trPr>
          <w:trHeight w:val="829"/>
        </w:trPr>
        <w:tc>
          <w:tcPr>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类别</w:t>
            </w:r>
            <w:r/>
          </w:p>
        </w:tc>
        <w:tc>
          <w:tcPr>
            <w:tcW w:w="31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考核要求</w:t>
            </w:r>
            <w:r/>
          </w:p>
        </w:tc>
        <w:tc>
          <w:tcPr>
            <w:tcW w:w="32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考核办法</w:t>
            </w:r>
            <w:r/>
          </w:p>
        </w:tc>
        <w:tc>
          <w:tcPr>
            <w:tcW w:w="13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产生</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款项</w:t>
            </w:r>
            <w:r/>
          </w:p>
        </w:tc>
      </w:tr>
      <w:tr>
        <w:trPr>
          <w:trHeight w:val="431"/>
        </w:trPr>
        <w:tc>
          <w:tcPr>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作业规范（一）</w:t>
            </w:r>
            <w:r/>
          </w:p>
        </w:tc>
        <w:tc>
          <w:tcPr>
            <w:tcW w:w="313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按甲方要求及相关规范、标准开展巡查，日常巡查点位每次不少于5处。</w:t>
            </w:r>
            <w:r/>
          </w:p>
        </w:tc>
        <w:tc>
          <w:tcPr>
            <w:tcW w:w="32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每次巡查报告每少一处点位或者不符合相关要求扣款50元</w:t>
            </w:r>
            <w:r/>
          </w:p>
        </w:tc>
        <w:tc>
          <w:tcPr>
            <w:tcW w:w="1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6"/>
        </w:trPr>
        <w:tc>
          <w:tcPr>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作业规范（二）</w:t>
            </w:r>
            <w:r/>
          </w:p>
        </w:tc>
        <w:tc>
          <w:tcPr>
            <w:tcW w:w="313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问题清单和后监督记录必须在巡查后24小时内完成信息上报。</w:t>
            </w:r>
            <w:r/>
          </w:p>
        </w:tc>
        <w:tc>
          <w:tcPr>
            <w:tcW w:w="32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延迟上报每发生一次扣款100元</w:t>
            </w:r>
            <w:r/>
          </w:p>
        </w:tc>
        <w:tc>
          <w:tcPr>
            <w:tcW w:w="1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30"/>
        </w:trPr>
        <w:tc>
          <w:tcPr>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作业规范（三）</w:t>
            </w:r>
            <w:r/>
          </w:p>
        </w:tc>
        <w:tc>
          <w:tcPr>
            <w:tcW w:w="313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专项技术服务工作</w:t>
            </w:r>
            <w:r>
              <w:rPr>
                <w:rFonts w:hint="eastAsia" w:ascii="宋体" w:hAnsi="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rPr>
              <w:t xml:space="preserve">符合相关技术</w:t>
            </w:r>
            <w:r>
              <w:rPr>
                <w:rFonts w:hint="eastAsia" w:ascii="宋体" w:hAnsi="宋体" w:cs="宋体"/>
                <w:color w:val="auto"/>
                <w:sz w:val="21"/>
                <w:szCs w:val="21"/>
                <w:highlight w:val="none"/>
                <w:lang w:val="en-US" w:eastAsia="zh-CN"/>
              </w:rPr>
              <w:t xml:space="preserve">规范以及上级审核</w:t>
            </w:r>
            <w:r>
              <w:rPr>
                <w:rFonts w:hint="eastAsia" w:ascii="宋体" w:hAnsi="宋体" w:eastAsia="宋体" w:cs="宋体"/>
                <w:color w:val="auto"/>
                <w:sz w:val="21"/>
                <w:szCs w:val="21"/>
                <w:highlight w:val="none"/>
              </w:rPr>
              <w:t xml:space="preserve">要求</w:t>
            </w:r>
            <w:r/>
          </w:p>
        </w:tc>
        <w:tc>
          <w:tcPr>
            <w:tcW w:w="32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符合相关技术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审核要求的</w:t>
            </w:r>
            <w:r>
              <w:rPr>
                <w:rFonts w:hint="eastAsia" w:ascii="宋体" w:hAnsi="宋体" w:eastAsia="宋体" w:cs="宋体"/>
                <w:color w:val="auto"/>
                <w:sz w:val="21"/>
                <w:szCs w:val="21"/>
                <w:highlight w:val="none"/>
              </w:rPr>
              <w:t xml:space="preserve">每发生一次扣500元</w:t>
            </w:r>
            <w:r/>
          </w:p>
        </w:tc>
        <w:tc>
          <w:tcPr>
            <w:tcW w:w="1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30"/>
        </w:trPr>
        <w:tc>
          <w:tcPr>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313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巡查人员及必要的巡查设施设备需在1小时内响应甲方空气质量巡查需求</w:t>
            </w:r>
            <w:r/>
          </w:p>
        </w:tc>
        <w:tc>
          <w:tcPr>
            <w:tcW w:w="32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无正当理由响应不及时或不符合要求的每发生一次扣款500元</w:t>
            </w:r>
            <w:r/>
          </w:p>
        </w:tc>
        <w:tc>
          <w:tcPr>
            <w:tcW w:w="1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30"/>
        </w:trPr>
        <w:tc>
          <w:tcPr>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信息真实</w:t>
            </w:r>
            <w:r/>
          </w:p>
        </w:tc>
        <w:tc>
          <w:tcPr>
            <w:tcW w:w="313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信息上报实事求是，不发生弄虚作假行为。</w:t>
            </w:r>
            <w:r/>
          </w:p>
        </w:tc>
        <w:tc>
          <w:tcPr>
            <w:tcW w:w="32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巡查信息不全和造假情况每发生一次扣款500元</w:t>
            </w:r>
            <w:r/>
          </w:p>
        </w:tc>
        <w:tc>
          <w:tcPr>
            <w:tcW w:w="1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30"/>
        </w:trPr>
        <w:tc>
          <w:tcPr>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5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信息管理</w:t>
            </w:r>
            <w:r/>
          </w:p>
        </w:tc>
        <w:tc>
          <w:tcPr>
            <w:tcW w:w="313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巡查和后监督工作均需拍摄视频、照片（带有时间、地点、经纬度水印）及地图定位、点位信息并保存不少于1年</w:t>
            </w:r>
            <w:r/>
          </w:p>
        </w:tc>
        <w:tc>
          <w:tcPr>
            <w:tcW w:w="32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问题清单和后监督记录视频照片素材丢失或定位、点位信息等不准确的每发生一起扣款200元</w:t>
            </w:r>
            <w:r/>
          </w:p>
        </w:tc>
        <w:tc>
          <w:tcPr>
            <w:tcW w:w="1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30"/>
        </w:trPr>
        <w:tc>
          <w:tcPr>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5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组织情况</w:t>
            </w:r>
            <w:r/>
          </w:p>
        </w:tc>
        <w:tc>
          <w:tcPr>
            <w:tcW w:w="313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不发生有责投诉，巡查人员遵纪守法。</w:t>
            </w:r>
            <w:r/>
          </w:p>
        </w:tc>
        <w:tc>
          <w:tcPr>
            <w:tcW w:w="32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每发生一次扣款500-1000元</w:t>
            </w:r>
            <w:r/>
          </w:p>
        </w:tc>
        <w:tc>
          <w:tcPr>
            <w:tcW w:w="1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30"/>
        </w:trPr>
        <w:tc>
          <w:tcPr>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5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公众事件</w:t>
            </w:r>
            <w:r/>
          </w:p>
        </w:tc>
        <w:tc>
          <w:tcPr>
            <w:tcW w:w="313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不发生因管理不当、违反劳动法等对姑苏区造成负面影响的事件。</w:t>
            </w:r>
            <w:r/>
          </w:p>
        </w:tc>
        <w:tc>
          <w:tcPr>
            <w:tcW w:w="32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每发生一次扣款3000-5000元</w:t>
            </w:r>
            <w:r/>
          </w:p>
        </w:tc>
        <w:tc>
          <w:tcPr>
            <w:tcW w:w="1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30"/>
        </w:trPr>
        <w:tc>
          <w:tcPr>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5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巡查管理</w:t>
            </w:r>
            <w:r/>
          </w:p>
        </w:tc>
        <w:tc>
          <w:tcPr>
            <w:tcW w:w="313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不发生因巡查人员人身、财产等问题处理不善而产生的投诉、曝光、信访、法律纠纷及安全事故等对姑苏区造成负面影响的事件。</w:t>
            </w:r>
            <w:r/>
          </w:p>
        </w:tc>
        <w:tc>
          <w:tcPr>
            <w:tcW w:w="32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每发生一次扣款3000-5000元</w:t>
            </w:r>
            <w:r/>
          </w:p>
        </w:tc>
        <w:tc>
          <w:tcPr>
            <w:tcW w:w="1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30"/>
        </w:trPr>
        <w:tc>
          <w:tcPr>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5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信息管理</w:t>
            </w:r>
            <w:r/>
          </w:p>
        </w:tc>
        <w:tc>
          <w:tcPr>
            <w:tcW w:w="313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不发生因巡查信息泄露而产生的投诉、曝光、信访等对姑苏区造成负面影响的事件，不得擅自将电子数据、巡查成果等相关资料提供给第三方。</w:t>
            </w:r>
            <w:r/>
          </w:p>
        </w:tc>
        <w:tc>
          <w:tcPr>
            <w:tcW w:w="32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每发生一次扣款3000-5000元</w:t>
            </w:r>
            <w:r/>
          </w:p>
        </w:tc>
        <w:tc>
          <w:tcPr>
            <w:tcW w:w="1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Times New Roman"/>
          <w:color w:val="auto"/>
          <w:sz w:val="36"/>
          <w:szCs w:val="36"/>
          <w:highlight w:val="none"/>
          <w:lang w:val="en-US" w:eastAsia="zh-CN"/>
        </w:rPr>
      </w:pPr>
      <w:r>
        <w:rPr>
          <w:rFonts w:hint="eastAsia" w:ascii="宋体" w:hAnsi="宋体" w:eastAsia="宋体" w:cs="Times New Roman"/>
          <w:color w:val="auto"/>
          <w:sz w:val="36"/>
          <w:szCs w:val="36"/>
          <w:highlight w:val="none"/>
          <w:lang w:val="en-US" w:eastAsia="zh-CN"/>
        </w:rPr>
        <w:br w:type="page" w:clear="all"/>
      </w:r>
      <w:r/>
    </w:p>
    <w:p>
      <w:pPr>
        <w:jc w:val="center"/>
        <w:rPr>
          <w:rFonts w:hint="default" w:ascii="宋体" w:hAnsi="宋体" w:eastAsia="宋体" w:cs="Times New Roman"/>
          <w:color w:val="auto"/>
          <w:sz w:val="36"/>
          <w:szCs w:val="36"/>
          <w:highlight w:val="none"/>
        </w:rPr>
      </w:pPr>
      <w:r>
        <w:rPr>
          <w:rFonts w:hint="eastAsia" w:ascii="宋体" w:hAnsi="宋体" w:cs="Times New Roman"/>
          <w:color w:val="auto"/>
          <w:sz w:val="36"/>
          <w:szCs w:val="36"/>
          <w:highlight w:val="none"/>
          <w:lang w:val="en-US" w:eastAsia="zh-CN"/>
        </w:rPr>
        <w:t xml:space="preserve">二标段：</w:t>
      </w:r>
      <w:r>
        <w:rPr>
          <w:rFonts w:hint="eastAsia" w:ascii="宋体" w:hAnsi="宋体" w:eastAsia="宋体" w:cs="Times New Roman"/>
          <w:color w:val="auto"/>
          <w:sz w:val="36"/>
          <w:szCs w:val="36"/>
          <w:highlight w:val="none"/>
          <w:lang w:val="en-US" w:eastAsia="zh-CN"/>
        </w:rPr>
        <w:t xml:space="preserve">环境空气质量保障服务</w:t>
      </w:r>
      <w:r>
        <w:rPr>
          <w:rFonts w:hint="default" w:ascii="宋体" w:hAnsi="宋体" w:eastAsia="宋体" w:cs="Times New Roman"/>
          <w:color w:val="auto"/>
          <w:sz w:val="36"/>
          <w:szCs w:val="36"/>
          <w:highlight w:val="none"/>
        </w:rPr>
        <w:t xml:space="preserve">综合考评实施细则</w:t>
      </w:r>
      <w:r/>
    </w:p>
    <w:tbl>
      <w:tblPr>
        <w:tblStyle w:val="962"/>
        <w:tblW w:w="100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10"/>
        <w:gridCol w:w="3218"/>
        <w:gridCol w:w="3177"/>
        <w:gridCol w:w="1350"/>
      </w:tblGrid>
      <w:tr>
        <w:trPr>
          <w:trHeight w:val="937"/>
        </w:trPr>
        <w:tc>
          <w:tcPr>
            <w:tcW w:w="750" w:type="dxa"/>
            <w:vAlign w:val="center"/>
            <w:textDirection w:val="lrTb"/>
            <w:noWrap w:val="false"/>
          </w:tcPr>
          <w:p>
            <w:pPr>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序号</w:t>
            </w:r>
            <w:r/>
          </w:p>
        </w:tc>
        <w:tc>
          <w:tcPr>
            <w:tcW w:w="1510" w:type="dxa"/>
            <w:vAlign w:val="center"/>
            <w:textDirection w:val="lrTb"/>
            <w:noWrap w:val="false"/>
          </w:tcPr>
          <w:p>
            <w:pPr>
              <w:jc w:val="center"/>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类别</w:t>
            </w:r>
            <w:r/>
          </w:p>
        </w:tc>
        <w:tc>
          <w:tcPr>
            <w:tcW w:w="3218" w:type="dxa"/>
            <w:vAlign w:val="center"/>
            <w:textDirection w:val="lrTb"/>
            <w:noWrap w:val="false"/>
          </w:tcPr>
          <w:p>
            <w:pPr>
              <w:jc w:val="center"/>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考核要求</w:t>
            </w:r>
            <w:r/>
          </w:p>
        </w:tc>
        <w:tc>
          <w:tcPr>
            <w:tcW w:w="3177" w:type="dxa"/>
            <w:vAlign w:val="center"/>
            <w:textDirection w:val="lrTb"/>
            <w:noWrap w:val="false"/>
          </w:tcPr>
          <w:p>
            <w:pPr>
              <w:jc w:val="center"/>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考核办法</w:t>
            </w:r>
            <w:r/>
          </w:p>
        </w:tc>
        <w:tc>
          <w:tcPr>
            <w:tcW w:w="1350" w:type="dxa"/>
            <w:vAlign w:val="center"/>
            <w:textDirection w:val="lrTb"/>
            <w:noWrap w:val="false"/>
          </w:tcPr>
          <w:p>
            <w:pPr>
              <w:jc w:val="center"/>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产生</w:t>
            </w:r>
            <w:r/>
          </w:p>
          <w:p>
            <w:pPr>
              <w:jc w:val="center"/>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款项</w:t>
            </w:r>
            <w:r/>
          </w:p>
        </w:tc>
      </w:tr>
      <w:tr>
        <w:trPr>
          <w:trHeight w:val="431"/>
        </w:trPr>
        <w:tc>
          <w:tcPr>
            <w:tcW w:w="750" w:type="dxa"/>
            <w:vAlign w:val="center"/>
            <w:textDirection w:val="lrTb"/>
            <w:noWrap w:val="false"/>
          </w:tcPr>
          <w:p>
            <w:pPr>
              <w:jc w:val="center"/>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1</w:t>
            </w:r>
            <w:r/>
          </w:p>
        </w:tc>
        <w:tc>
          <w:tcPr>
            <w:tcW w:w="1510" w:type="dxa"/>
            <w:vAlign w:val="center"/>
            <w:textDirection w:val="lrTb"/>
            <w:noWrap w:val="false"/>
          </w:tcPr>
          <w:p>
            <w:pPr>
              <w:jc w:val="center"/>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作业规范（一）</w:t>
            </w:r>
            <w:r/>
          </w:p>
        </w:tc>
        <w:tc>
          <w:tcPr>
            <w:tcW w:w="3218" w:type="dxa"/>
            <w:vAlign w:val="center"/>
            <w:textDirection w:val="lrTb"/>
            <w:noWrap w:val="false"/>
          </w:tcPr>
          <w:p>
            <w:pPr>
              <w:jc w:val="both"/>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每月空气质量研判分析报告至少包括空气质量变化趋势、主要污染源分析、颗粒物成因分析及下一步工作建议等内容</w:t>
            </w:r>
            <w:r/>
          </w:p>
        </w:tc>
        <w:tc>
          <w:tcPr>
            <w:tcW w:w="3177" w:type="dxa"/>
            <w:vAlign w:val="center"/>
            <w:textDirection w:val="lrTb"/>
            <w:noWrap w:val="false"/>
          </w:tcPr>
          <w:p>
            <w:pPr>
              <w:jc w:val="both"/>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每月报告每少一项内容扣500元</w:t>
            </w:r>
            <w:r/>
          </w:p>
        </w:tc>
        <w:tc>
          <w:tcPr>
            <w:tcW w:w="1350"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r>
            <w:r/>
          </w:p>
        </w:tc>
      </w:tr>
      <w:tr>
        <w:trPr>
          <w:trHeight w:val="737"/>
        </w:trPr>
        <w:tc>
          <w:tcPr>
            <w:tcW w:w="750" w:type="dxa"/>
            <w:vAlign w:val="center"/>
            <w:textDirection w:val="lrTb"/>
            <w:noWrap w:val="false"/>
          </w:tcPr>
          <w:p>
            <w:pPr>
              <w:jc w:val="center"/>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2</w:t>
            </w:r>
            <w:r/>
          </w:p>
        </w:tc>
        <w:tc>
          <w:tcPr>
            <w:tcW w:w="1510" w:type="dxa"/>
            <w:vAlign w:val="center"/>
            <w:textDirection w:val="lrTb"/>
            <w:noWrap w:val="false"/>
          </w:tcPr>
          <w:p>
            <w:pPr>
              <w:jc w:val="center"/>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作业规范（</w:t>
            </w:r>
            <w:r>
              <w:rPr>
                <w:rFonts w:hint="eastAsia" w:ascii="宋体" w:hAnsi="宋体" w:eastAsia="宋体"/>
                <w:color w:val="auto"/>
                <w:sz w:val="21"/>
                <w:szCs w:val="21"/>
                <w:highlight w:val="none"/>
                <w:lang w:val="en-US" w:eastAsia="zh-CN"/>
              </w:rPr>
              <w:t xml:space="preserve">二</w:t>
            </w:r>
            <w:r>
              <w:rPr>
                <w:rFonts w:hint="default" w:ascii="宋体" w:hAnsi="宋体" w:eastAsia="宋体"/>
                <w:color w:val="auto"/>
                <w:sz w:val="21"/>
                <w:szCs w:val="21"/>
                <w:highlight w:val="none"/>
              </w:rPr>
              <w:t xml:space="preserve">）</w:t>
            </w:r>
            <w:r/>
          </w:p>
        </w:tc>
        <w:tc>
          <w:tcPr>
            <w:tcW w:w="3218" w:type="dxa"/>
            <w:vAlign w:val="center"/>
            <w:textDirection w:val="lrTb"/>
            <w:noWrap w:val="false"/>
          </w:tcPr>
          <w:p>
            <w:pPr>
              <w:jc w:val="both"/>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走航监测发现问题第一时间通知甲方</w:t>
            </w:r>
            <w:r/>
          </w:p>
        </w:tc>
        <w:tc>
          <w:tcPr>
            <w:tcW w:w="3177"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延迟上报每发生一次扣款100元</w:t>
            </w:r>
            <w:r/>
          </w:p>
        </w:tc>
        <w:tc>
          <w:tcPr>
            <w:tcW w:w="1350"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r>
            <w:r/>
          </w:p>
        </w:tc>
      </w:tr>
      <w:tr>
        <w:trPr>
          <w:trHeight w:val="1089"/>
        </w:trPr>
        <w:tc>
          <w:tcPr>
            <w:tcW w:w="750" w:type="dxa"/>
            <w:vAlign w:val="center"/>
            <w:textDirection w:val="lrTb"/>
            <w:noWrap w:val="false"/>
          </w:tcPr>
          <w:p>
            <w:pPr>
              <w:jc w:val="center"/>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3</w:t>
            </w:r>
            <w:r/>
          </w:p>
        </w:tc>
        <w:tc>
          <w:tcPr>
            <w:tcW w:w="1510" w:type="dxa"/>
            <w:vAlign w:val="center"/>
            <w:textDirection w:val="lrTb"/>
            <w:noWrap w:val="false"/>
          </w:tcPr>
          <w:p>
            <w:pPr>
              <w:jc w:val="center"/>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作业规范（</w:t>
            </w:r>
            <w:r>
              <w:rPr>
                <w:rFonts w:hint="eastAsia" w:ascii="宋体" w:hAnsi="宋体" w:eastAsia="宋体"/>
                <w:color w:val="auto"/>
                <w:sz w:val="21"/>
                <w:szCs w:val="21"/>
                <w:highlight w:val="none"/>
                <w:lang w:val="en-US" w:eastAsia="zh-CN"/>
              </w:rPr>
              <w:t xml:space="preserve">三</w:t>
            </w:r>
            <w:r>
              <w:rPr>
                <w:rFonts w:hint="default" w:ascii="宋体" w:hAnsi="宋体" w:eastAsia="宋体"/>
                <w:color w:val="auto"/>
                <w:sz w:val="21"/>
                <w:szCs w:val="21"/>
                <w:highlight w:val="none"/>
              </w:rPr>
              <w:t xml:space="preserve">）</w:t>
            </w:r>
            <w:r/>
          </w:p>
        </w:tc>
        <w:tc>
          <w:tcPr>
            <w:tcW w:w="3218" w:type="dxa"/>
            <w:vAlign w:val="center"/>
            <w:textDirection w:val="lrTb"/>
            <w:noWrap w:val="false"/>
          </w:tcPr>
          <w:p>
            <w:pPr>
              <w:jc w:val="both"/>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每次走航监测结束后5个工作日内提供走航监测报告</w:t>
            </w:r>
            <w:r/>
          </w:p>
        </w:tc>
        <w:tc>
          <w:tcPr>
            <w:tcW w:w="3177" w:type="dxa"/>
            <w:vAlign w:val="center"/>
            <w:textDirection w:val="lrTb"/>
            <w:noWrap w:val="false"/>
          </w:tcPr>
          <w:p>
            <w:pPr>
              <w:jc w:val="both"/>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未在规定时间内提交报告的每发生一次扣500元</w:t>
            </w:r>
            <w:r/>
          </w:p>
        </w:tc>
        <w:tc>
          <w:tcPr>
            <w:tcW w:w="1350"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r>
            <w:r/>
          </w:p>
        </w:tc>
      </w:tr>
      <w:tr>
        <w:trPr>
          <w:trHeight w:val="1049"/>
        </w:trPr>
        <w:tc>
          <w:tcPr>
            <w:tcW w:w="750" w:type="dxa"/>
            <w:vAlign w:val="center"/>
            <w:textDirection w:val="lrTb"/>
            <w:noWrap w:val="false"/>
          </w:tcPr>
          <w:p>
            <w:pPr>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4</w:t>
            </w:r>
            <w:r/>
          </w:p>
        </w:tc>
        <w:tc>
          <w:tcPr>
            <w:tcW w:w="1510" w:type="dxa"/>
            <w:vAlign w:val="center"/>
            <w:textDirection w:val="lrTb"/>
            <w:noWrap w:val="false"/>
          </w:tcPr>
          <w:p>
            <w:pPr>
              <w:jc w:val="center"/>
              <w:rPr>
                <w:rFonts w:hint="eastAsia" w:ascii="宋体" w:hAnsi="宋体" w:eastAsia="宋体"/>
                <w:color w:val="auto"/>
                <w:sz w:val="21"/>
                <w:szCs w:val="21"/>
                <w:highlight w:val="none"/>
                <w:lang w:eastAsia="zh-CN"/>
              </w:rPr>
            </w:pPr>
            <w:r>
              <w:rPr>
                <w:rFonts w:hint="default" w:ascii="宋体" w:hAnsi="宋体" w:eastAsia="宋体"/>
                <w:color w:val="auto"/>
                <w:sz w:val="21"/>
                <w:szCs w:val="21"/>
                <w:highlight w:val="none"/>
              </w:rPr>
              <w:t xml:space="preserve">响应情况</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一</w:t>
            </w:r>
            <w:r>
              <w:rPr>
                <w:rFonts w:hint="eastAsia" w:ascii="宋体" w:hAnsi="宋体" w:eastAsia="宋体"/>
                <w:color w:val="auto"/>
                <w:sz w:val="21"/>
                <w:szCs w:val="21"/>
                <w:highlight w:val="none"/>
                <w:lang w:eastAsia="zh-CN"/>
              </w:rPr>
              <w:t xml:space="preserve">）</w:t>
            </w:r>
            <w:r/>
          </w:p>
        </w:tc>
        <w:tc>
          <w:tcPr>
            <w:tcW w:w="3218" w:type="dxa"/>
            <w:vAlign w:val="center"/>
            <w:textDirection w:val="lrTb"/>
            <w:noWrap w:val="false"/>
          </w:tcPr>
          <w:p>
            <w:pPr>
              <w:jc w:val="both"/>
              <w:rPr>
                <w:rFonts w:hint="default" w:ascii="宋体" w:hAnsi="宋体" w:eastAsia="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 xml:space="preserve">突高高值简要分析需在接到通知后2小时内形成分析材料</w:t>
            </w:r>
            <w:r/>
          </w:p>
        </w:tc>
        <w:tc>
          <w:tcPr>
            <w:tcW w:w="3177"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无正当理由响应不及时的每发生一次扣款500元</w:t>
            </w:r>
            <w:r/>
          </w:p>
        </w:tc>
        <w:tc>
          <w:tcPr>
            <w:tcW w:w="1350"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r>
            <w:r/>
          </w:p>
        </w:tc>
      </w:tr>
      <w:tr>
        <w:trPr>
          <w:trHeight w:val="792"/>
        </w:trPr>
        <w:tc>
          <w:tcPr>
            <w:tcW w:w="750" w:type="dxa"/>
            <w:vAlign w:val="center"/>
            <w:textDirection w:val="lrTb"/>
            <w:noWrap w:val="false"/>
          </w:tcPr>
          <w:p>
            <w:pPr>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w:t>
            </w:r>
            <w:r/>
          </w:p>
        </w:tc>
        <w:tc>
          <w:tcPr>
            <w:tcW w:w="1510" w:type="dxa"/>
            <w:vAlign w:val="center"/>
            <w:textDirection w:val="lrTb"/>
            <w:noWrap w:val="false"/>
          </w:tcPr>
          <w:p>
            <w:pPr>
              <w:jc w:val="center"/>
              <w:rPr>
                <w:rFonts w:hint="default" w:ascii="宋体" w:hAnsi="宋体" w:eastAsia="宋体" w:cs="Times New Roman"/>
                <w:color w:val="auto"/>
                <w:sz w:val="21"/>
                <w:szCs w:val="21"/>
                <w:highlight w:val="none"/>
                <w:lang w:eastAsia="zh-CN"/>
              </w:rPr>
            </w:pPr>
            <w:r>
              <w:rPr>
                <w:rFonts w:hint="default" w:ascii="宋体" w:hAnsi="宋体" w:eastAsia="宋体"/>
                <w:color w:val="auto"/>
                <w:sz w:val="21"/>
                <w:szCs w:val="21"/>
                <w:highlight w:val="none"/>
              </w:rPr>
              <w:t xml:space="preserve">响应情况</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二</w:t>
            </w:r>
            <w:r>
              <w:rPr>
                <w:rFonts w:hint="eastAsia" w:ascii="宋体" w:hAnsi="宋体" w:eastAsia="宋体"/>
                <w:color w:val="auto"/>
                <w:sz w:val="21"/>
                <w:szCs w:val="21"/>
                <w:highlight w:val="none"/>
                <w:lang w:eastAsia="zh-CN"/>
              </w:rPr>
              <w:t xml:space="preserve">）</w:t>
            </w:r>
            <w:r/>
          </w:p>
        </w:tc>
        <w:tc>
          <w:tcPr>
            <w:tcW w:w="3218" w:type="dxa"/>
            <w:vAlign w:val="center"/>
            <w:textDirection w:val="lrTb"/>
            <w:noWrap w:val="false"/>
          </w:tcPr>
          <w:p>
            <w:pPr>
              <w:jc w:val="both"/>
              <w:rPr>
                <w:rFonts w:hint="eastAsia" w:ascii="宋体" w:hAnsi="宋体" w:eastAsia="宋体" w:cs="Times New Roman"/>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 xml:space="preserve">应急走航监测服务需在接到指令后2小时内响应</w:t>
            </w:r>
            <w:r/>
          </w:p>
        </w:tc>
        <w:tc>
          <w:tcPr>
            <w:tcW w:w="3177" w:type="dxa"/>
            <w:vAlign w:val="center"/>
            <w:textDirection w:val="lrTb"/>
            <w:noWrap w:val="false"/>
          </w:tcPr>
          <w:p>
            <w:pPr>
              <w:jc w:val="both"/>
              <w:rPr>
                <w:rFonts w:hint="default" w:ascii="宋体" w:hAnsi="宋体" w:eastAsia="宋体" w:cs="Times New Roman"/>
                <w:color w:val="auto"/>
                <w:sz w:val="21"/>
                <w:szCs w:val="21"/>
                <w:highlight w:val="none"/>
              </w:rPr>
            </w:pPr>
            <w:r>
              <w:rPr>
                <w:rFonts w:hint="default" w:ascii="宋体" w:hAnsi="宋体" w:eastAsia="宋体"/>
                <w:color w:val="auto"/>
                <w:sz w:val="21"/>
                <w:szCs w:val="21"/>
                <w:highlight w:val="none"/>
              </w:rPr>
              <w:t xml:space="preserve">无正当理由响应不及时的每发生一次扣款500元</w:t>
            </w:r>
            <w:r/>
          </w:p>
        </w:tc>
        <w:tc>
          <w:tcPr>
            <w:tcW w:w="1350"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r>
            <w:r/>
          </w:p>
        </w:tc>
      </w:tr>
      <w:tr>
        <w:trPr>
          <w:trHeight w:val="928"/>
        </w:trPr>
        <w:tc>
          <w:tcPr>
            <w:tcW w:w="750" w:type="dxa"/>
            <w:vAlign w:val="center"/>
            <w:textDirection w:val="lrTb"/>
            <w:noWrap w:val="false"/>
          </w:tcPr>
          <w:p>
            <w:pPr>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6</w:t>
            </w:r>
            <w:r/>
          </w:p>
        </w:tc>
        <w:tc>
          <w:tcPr>
            <w:tcW w:w="1510" w:type="dxa"/>
            <w:vAlign w:val="center"/>
            <w:textDirection w:val="lrTb"/>
            <w:noWrap w:val="false"/>
          </w:tcPr>
          <w:p>
            <w:pPr>
              <w:jc w:val="center"/>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信息真实</w:t>
            </w:r>
            <w:r/>
          </w:p>
        </w:tc>
        <w:tc>
          <w:tcPr>
            <w:tcW w:w="3218"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信息上报实事求是，不发生弄虚作假行为。</w:t>
            </w:r>
            <w:r/>
          </w:p>
        </w:tc>
        <w:tc>
          <w:tcPr>
            <w:tcW w:w="3177"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lang w:val="en-US" w:eastAsia="zh-CN"/>
              </w:rPr>
              <w:t xml:space="preserve">走航</w:t>
            </w:r>
            <w:r>
              <w:rPr>
                <w:rFonts w:hint="default" w:ascii="宋体" w:hAnsi="宋体" w:eastAsia="宋体"/>
                <w:color w:val="auto"/>
                <w:sz w:val="21"/>
                <w:szCs w:val="21"/>
                <w:highlight w:val="none"/>
              </w:rPr>
              <w:t xml:space="preserve">信息不全和</w:t>
            </w:r>
            <w:r>
              <w:rPr>
                <w:rFonts w:hint="default" w:ascii="宋体" w:hAnsi="宋体" w:eastAsia="宋体"/>
                <w:color w:val="auto"/>
                <w:sz w:val="21"/>
                <w:szCs w:val="21"/>
                <w:highlight w:val="none"/>
                <w:lang w:val="en-US" w:eastAsia="zh-CN"/>
              </w:rPr>
              <w:t xml:space="preserve">数据</w:t>
            </w:r>
            <w:r>
              <w:rPr>
                <w:rFonts w:hint="default" w:ascii="宋体" w:hAnsi="宋体" w:eastAsia="宋体"/>
                <w:color w:val="auto"/>
                <w:sz w:val="21"/>
                <w:szCs w:val="21"/>
                <w:highlight w:val="none"/>
              </w:rPr>
              <w:t xml:space="preserve">造假情况每发生一次扣款</w:t>
            </w:r>
            <w:r>
              <w:rPr>
                <w:rFonts w:hint="default" w:ascii="宋体" w:hAnsi="宋体" w:eastAsia="宋体"/>
                <w:color w:val="auto"/>
                <w:sz w:val="21"/>
                <w:szCs w:val="21"/>
                <w:highlight w:val="none"/>
                <w:lang w:val="en-US" w:eastAsia="zh-CN"/>
              </w:rPr>
              <w:t xml:space="preserve">10</w:t>
            </w:r>
            <w:r>
              <w:rPr>
                <w:rFonts w:hint="default" w:ascii="宋体" w:hAnsi="宋体" w:eastAsia="宋体"/>
                <w:color w:val="auto"/>
                <w:sz w:val="21"/>
                <w:szCs w:val="21"/>
                <w:highlight w:val="none"/>
              </w:rPr>
              <w:t xml:space="preserve">00元</w:t>
            </w:r>
            <w:r/>
          </w:p>
        </w:tc>
        <w:tc>
          <w:tcPr>
            <w:tcW w:w="1350"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r>
            <w:r/>
          </w:p>
        </w:tc>
      </w:tr>
      <w:tr>
        <w:trPr>
          <w:trHeight w:val="1103"/>
        </w:trPr>
        <w:tc>
          <w:tcPr>
            <w:tcW w:w="750" w:type="dxa"/>
            <w:vAlign w:val="center"/>
            <w:textDirection w:val="lrTb"/>
            <w:noWrap w:val="false"/>
          </w:tcPr>
          <w:p>
            <w:pPr>
              <w:jc w:val="center"/>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7</w:t>
            </w:r>
            <w:r/>
          </w:p>
        </w:tc>
        <w:tc>
          <w:tcPr>
            <w:tcW w:w="1510" w:type="dxa"/>
            <w:vAlign w:val="center"/>
            <w:textDirection w:val="lrTb"/>
            <w:noWrap w:val="false"/>
          </w:tcPr>
          <w:p>
            <w:pPr>
              <w:jc w:val="center"/>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公众事件</w:t>
            </w:r>
            <w:r/>
          </w:p>
        </w:tc>
        <w:tc>
          <w:tcPr>
            <w:tcW w:w="3218"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不发生因管理不当、违反劳动法等对</w:t>
            </w:r>
            <w:r>
              <w:rPr>
                <w:rFonts w:hint="eastAsia" w:ascii="宋体" w:hAnsi="宋体"/>
                <w:color w:val="auto"/>
                <w:sz w:val="21"/>
                <w:szCs w:val="21"/>
                <w:highlight w:val="none"/>
                <w:lang w:val="en-US" w:eastAsia="zh-CN"/>
              </w:rPr>
              <w:t xml:space="preserve">姑苏</w:t>
            </w:r>
            <w:r>
              <w:rPr>
                <w:rFonts w:hint="default" w:ascii="宋体" w:hAnsi="宋体" w:eastAsia="宋体"/>
                <w:color w:val="auto"/>
                <w:sz w:val="21"/>
                <w:szCs w:val="21"/>
                <w:highlight w:val="none"/>
              </w:rPr>
              <w:t xml:space="preserve">区造成负面影响的事件。</w:t>
            </w:r>
            <w:r/>
          </w:p>
        </w:tc>
        <w:tc>
          <w:tcPr>
            <w:tcW w:w="3177"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每发生一次扣款3000-5000元</w:t>
            </w:r>
            <w:r/>
          </w:p>
        </w:tc>
        <w:tc>
          <w:tcPr>
            <w:tcW w:w="1350"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r>
            <w:r/>
          </w:p>
        </w:tc>
      </w:tr>
      <w:tr>
        <w:trPr>
          <w:trHeight w:val="1429"/>
        </w:trPr>
        <w:tc>
          <w:tcPr>
            <w:tcW w:w="750" w:type="dxa"/>
            <w:vAlign w:val="center"/>
            <w:textDirection w:val="lrTb"/>
            <w:noWrap w:val="false"/>
          </w:tcPr>
          <w:p>
            <w:pPr>
              <w:jc w:val="center"/>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8</w:t>
            </w:r>
            <w:r/>
          </w:p>
        </w:tc>
        <w:tc>
          <w:tcPr>
            <w:tcW w:w="1510" w:type="dxa"/>
            <w:vAlign w:val="center"/>
            <w:textDirection w:val="lrTb"/>
            <w:noWrap w:val="false"/>
          </w:tcPr>
          <w:p>
            <w:pPr>
              <w:jc w:val="center"/>
              <w:rPr>
                <w:rFonts w:hint="default"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走航</w:t>
            </w:r>
            <w:r>
              <w:rPr>
                <w:rFonts w:hint="default" w:ascii="宋体" w:hAnsi="宋体" w:eastAsia="宋体"/>
                <w:color w:val="auto"/>
                <w:sz w:val="21"/>
                <w:szCs w:val="21"/>
                <w:highlight w:val="none"/>
              </w:rPr>
              <w:t xml:space="preserve">管理</w:t>
            </w:r>
            <w:r/>
          </w:p>
        </w:tc>
        <w:tc>
          <w:tcPr>
            <w:tcW w:w="3218"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不发生因</w:t>
            </w:r>
            <w:r>
              <w:rPr>
                <w:rFonts w:hint="eastAsia" w:ascii="宋体" w:hAnsi="宋体" w:eastAsia="宋体"/>
                <w:color w:val="auto"/>
                <w:sz w:val="21"/>
                <w:szCs w:val="21"/>
                <w:highlight w:val="none"/>
                <w:lang w:val="en-US" w:eastAsia="zh-CN"/>
              </w:rPr>
              <w:t xml:space="preserve">走航过程</w:t>
            </w:r>
            <w:r>
              <w:rPr>
                <w:rFonts w:hint="default" w:ascii="宋体" w:hAnsi="宋体" w:eastAsia="宋体"/>
                <w:color w:val="auto"/>
                <w:sz w:val="21"/>
                <w:szCs w:val="21"/>
                <w:highlight w:val="none"/>
              </w:rPr>
              <w:t xml:space="preserve">产生的投诉、曝光、信访、法律纠纷等对</w:t>
            </w:r>
            <w:r>
              <w:rPr>
                <w:rFonts w:hint="eastAsia" w:ascii="宋体" w:hAnsi="宋体"/>
                <w:color w:val="auto"/>
                <w:sz w:val="21"/>
                <w:szCs w:val="21"/>
                <w:highlight w:val="none"/>
                <w:lang w:val="en-US" w:eastAsia="zh-CN"/>
              </w:rPr>
              <w:t xml:space="preserve">姑苏</w:t>
            </w:r>
            <w:r>
              <w:rPr>
                <w:rFonts w:hint="default" w:ascii="宋体" w:hAnsi="宋体" w:eastAsia="宋体"/>
                <w:color w:val="auto"/>
                <w:sz w:val="21"/>
                <w:szCs w:val="21"/>
                <w:highlight w:val="none"/>
              </w:rPr>
              <w:t xml:space="preserve">区造成负面影响的事件。</w:t>
            </w:r>
            <w:r/>
          </w:p>
        </w:tc>
        <w:tc>
          <w:tcPr>
            <w:tcW w:w="3177"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每发生一次扣款3000-5000元</w:t>
            </w:r>
            <w:r/>
          </w:p>
        </w:tc>
        <w:tc>
          <w:tcPr>
            <w:tcW w:w="1350"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r>
            <w:r/>
          </w:p>
        </w:tc>
      </w:tr>
      <w:tr>
        <w:trPr>
          <w:trHeight w:val="1493"/>
        </w:trPr>
        <w:tc>
          <w:tcPr>
            <w:tcW w:w="750" w:type="dxa"/>
            <w:vAlign w:val="center"/>
            <w:textDirection w:val="lrTb"/>
            <w:noWrap w:val="false"/>
          </w:tcPr>
          <w:p>
            <w:pPr>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9</w:t>
            </w:r>
            <w:r/>
          </w:p>
        </w:tc>
        <w:tc>
          <w:tcPr>
            <w:tcW w:w="1510" w:type="dxa"/>
            <w:vAlign w:val="center"/>
            <w:textDirection w:val="lrTb"/>
            <w:noWrap w:val="false"/>
          </w:tcPr>
          <w:p>
            <w:pPr>
              <w:jc w:val="center"/>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信息管理</w:t>
            </w:r>
            <w:r/>
          </w:p>
        </w:tc>
        <w:tc>
          <w:tcPr>
            <w:tcW w:w="3218" w:type="dxa"/>
            <w:vAlign w:val="center"/>
            <w:textDirection w:val="lrTb"/>
            <w:noWrap w:val="false"/>
          </w:tcPr>
          <w:p>
            <w:pPr>
              <w:jc w:val="both"/>
              <w:rPr>
                <w:rFonts w:hint="eastAsia" w:ascii="宋体" w:hAnsi="宋体" w:eastAsia="宋体"/>
                <w:color w:val="auto"/>
                <w:sz w:val="21"/>
                <w:szCs w:val="21"/>
                <w:highlight w:val="none"/>
                <w:lang w:eastAsia="zh-CN"/>
              </w:rPr>
            </w:pPr>
            <w:r>
              <w:rPr>
                <w:rFonts w:hint="default" w:ascii="宋体" w:hAnsi="宋体" w:eastAsia="宋体"/>
                <w:color w:val="auto"/>
                <w:sz w:val="21"/>
                <w:szCs w:val="21"/>
                <w:highlight w:val="none"/>
              </w:rPr>
              <w:t xml:space="preserve">不发生因</w:t>
            </w:r>
            <w:r>
              <w:rPr>
                <w:rFonts w:hint="eastAsia" w:ascii="宋体" w:hAnsi="宋体" w:eastAsia="宋体"/>
                <w:color w:val="auto"/>
                <w:sz w:val="21"/>
                <w:szCs w:val="21"/>
                <w:highlight w:val="none"/>
                <w:lang w:val="en-US" w:eastAsia="zh-CN"/>
              </w:rPr>
              <w:t xml:space="preserve">走航</w:t>
            </w:r>
            <w:r>
              <w:rPr>
                <w:rFonts w:hint="default" w:ascii="宋体" w:hAnsi="宋体" w:eastAsia="宋体"/>
                <w:color w:val="auto"/>
                <w:sz w:val="21"/>
                <w:szCs w:val="21"/>
                <w:highlight w:val="none"/>
              </w:rPr>
              <w:t xml:space="preserve">巡查</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空气质量分析等</w:t>
            </w:r>
            <w:r>
              <w:rPr>
                <w:rFonts w:hint="default" w:ascii="宋体" w:hAnsi="宋体" w:eastAsia="宋体"/>
                <w:color w:val="auto"/>
                <w:sz w:val="21"/>
                <w:szCs w:val="21"/>
                <w:highlight w:val="none"/>
              </w:rPr>
              <w:t xml:space="preserve">信息泄露而产生的投诉、曝光、信访等对</w:t>
            </w:r>
            <w:r>
              <w:rPr>
                <w:rFonts w:hint="eastAsia" w:ascii="宋体" w:hAnsi="宋体"/>
                <w:color w:val="auto"/>
                <w:sz w:val="21"/>
                <w:szCs w:val="21"/>
                <w:highlight w:val="none"/>
                <w:lang w:val="en-US" w:eastAsia="zh-CN"/>
              </w:rPr>
              <w:t xml:space="preserve">姑苏</w:t>
            </w:r>
            <w:r>
              <w:rPr>
                <w:rFonts w:hint="default" w:ascii="宋体" w:hAnsi="宋体" w:eastAsia="宋体"/>
                <w:color w:val="auto"/>
                <w:sz w:val="21"/>
                <w:szCs w:val="21"/>
                <w:highlight w:val="none"/>
              </w:rPr>
              <w:t xml:space="preserve">区造成负面影响的事件</w:t>
            </w:r>
            <w:r>
              <w:rPr>
                <w:rFonts w:hint="eastAsia" w:ascii="宋体" w:hAnsi="宋体"/>
                <w:color w:val="auto"/>
                <w:sz w:val="21"/>
                <w:szCs w:val="21"/>
                <w:highlight w:val="none"/>
                <w:lang w:eastAsia="zh-CN"/>
              </w:rPr>
              <w:t xml:space="preserve">。</w:t>
            </w:r>
            <w:r/>
          </w:p>
        </w:tc>
        <w:tc>
          <w:tcPr>
            <w:tcW w:w="3177"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每发生一次扣款3000-5000元</w:t>
            </w:r>
            <w:r/>
          </w:p>
        </w:tc>
        <w:tc>
          <w:tcPr>
            <w:tcW w:w="1350" w:type="dxa"/>
            <w:vAlign w:val="center"/>
            <w:textDirection w:val="lrTb"/>
            <w:noWrap w:val="false"/>
          </w:tcPr>
          <w:p>
            <w:pPr>
              <w:jc w:val="both"/>
              <w:rPr>
                <w:rFonts w:hint="default" w:ascii="宋体" w:hAnsi="宋体" w:eastAsia="宋体"/>
                <w:color w:val="auto"/>
                <w:sz w:val="21"/>
                <w:szCs w:val="21"/>
                <w:highlight w:val="none"/>
              </w:rPr>
            </w:pPr>
            <w:r>
              <w:rPr>
                <w:rFonts w:hint="default" w:ascii="宋体" w:hAnsi="宋体" w:eastAsia="宋体"/>
                <w:color w:val="auto"/>
                <w:sz w:val="21"/>
                <w:szCs w:val="21"/>
                <w:highlight w:val="none"/>
              </w:rPr>
            </w:r>
            <w:r/>
          </w:p>
        </w:tc>
      </w:tr>
    </w:tbl>
    <w:p>
      <w:pPr>
        <w:jc w:val="both"/>
        <w:spacing w:line="360" w:lineRule="auto"/>
        <w:rPr>
          <w:rFonts w:ascii="宋体" w:hAnsi="宋体"/>
          <w:b/>
          <w:color w:val="auto"/>
          <w:sz w:val="32"/>
          <w:highlight w:val="none"/>
        </w:rPr>
        <w:outlineLvl w:val="0"/>
      </w:pPr>
      <w:r>
        <w:rPr>
          <w:rFonts w:ascii="宋体" w:hAnsi="宋体"/>
          <w:b/>
          <w:color w:val="auto"/>
          <w:sz w:val="32"/>
          <w:highlight w:val="none"/>
        </w:rPr>
      </w:r>
      <w:r/>
    </w:p>
    <w:p>
      <w:pPr>
        <w:jc w:val="both"/>
        <w:spacing w:line="360" w:lineRule="auto"/>
        <w:rPr>
          <w:rFonts w:ascii="宋体" w:hAnsi="宋体"/>
          <w:b/>
          <w:color w:val="auto"/>
          <w:sz w:val="32"/>
          <w:highlight w:val="none"/>
        </w:rPr>
        <w:outlineLvl w:val="0"/>
      </w:pPr>
      <w:r>
        <w:rPr>
          <w:rFonts w:ascii="宋体" w:hAnsi="宋体"/>
          <w:b/>
          <w:color w:val="auto"/>
          <w:sz w:val="32"/>
          <w:highlight w:val="none"/>
        </w:rPr>
      </w:r>
      <w:r/>
    </w:p>
    <w:p>
      <w:pPr>
        <w:jc w:val="center"/>
        <w:spacing w:line="360" w:lineRule="auto"/>
        <w:rPr>
          <w:rFonts w:ascii="宋体" w:hAnsi="宋体"/>
          <w:b/>
          <w:color w:val="auto"/>
          <w:sz w:val="32"/>
          <w:highlight w:val="none"/>
        </w:rPr>
        <w:outlineLvl w:val="0"/>
      </w:pPr>
      <w:r>
        <w:rPr>
          <w:rFonts w:ascii="宋体" w:hAnsi="宋体"/>
          <w:b/>
          <w:color w:val="auto"/>
          <w:sz w:val="32"/>
          <w:highlight w:val="none"/>
        </w:rPr>
        <w:br w:type="page" w:clear="all"/>
      </w:r>
      <w:r>
        <w:rPr>
          <w:rFonts w:hint="eastAsia" w:ascii="宋体" w:hAnsi="宋体"/>
          <w:b/>
          <w:color w:val="auto"/>
          <w:sz w:val="32"/>
          <w:highlight w:val="none"/>
        </w:rPr>
        <w:t xml:space="preserve">五、响应文件参考格式</w:t>
      </w:r>
      <w:r/>
    </w:p>
    <w:p>
      <w:pPr>
        <w:rPr>
          <w:rFonts w:ascii="宋体" w:hAnsi="宋体"/>
          <w:b/>
          <w:color w:val="auto"/>
          <w:highlight w:val="none"/>
        </w:rPr>
      </w:pPr>
      <w:r>
        <w:rPr>
          <w:rFonts w:hint="eastAsia" w:ascii="宋体" w:hAnsi="宋体"/>
          <w:b/>
          <w:color w:val="auto"/>
          <w:highlight w:val="none"/>
        </w:rPr>
        <w:t xml:space="preserve">格式</w:t>
      </w:r>
      <w:r>
        <w:rPr>
          <w:rFonts w:ascii="宋体" w:hAnsi="宋体"/>
          <w:b/>
          <w:color w:val="auto"/>
          <w:highlight w:val="none"/>
        </w:rPr>
        <w:t xml:space="preserve">1</w:t>
      </w:r>
      <w:r>
        <w:rPr>
          <w:rFonts w:hint="eastAsia" w:ascii="宋体" w:hAnsi="宋体"/>
          <w:b/>
          <w:color w:val="auto"/>
          <w:highlight w:val="none"/>
        </w:rPr>
        <w:t xml:space="preserve">、（供应商）授权委托书</w:t>
      </w:r>
      <w:r/>
    </w:p>
    <w:p>
      <w:pPr>
        <w:pStyle w:val="963"/>
        <w:ind w:firstLine="0"/>
        <w:jc w:val="both"/>
        <w:spacing w:line="360" w:lineRule="auto"/>
        <w:rPr>
          <w:rFonts w:ascii="宋体" w:hAnsi="宋体" w:eastAsia="宋体"/>
          <w:color w:val="auto"/>
          <w:highlight w:val="none"/>
        </w:rPr>
      </w:pPr>
      <w:r>
        <w:rPr>
          <w:rFonts w:ascii="宋体" w:hAnsi="宋体" w:eastAsia="宋体"/>
          <w:color w:val="auto"/>
          <w:highlight w:val="none"/>
        </w:rPr>
      </w:r>
      <w:r/>
    </w:p>
    <w:p>
      <w:pPr>
        <w:pStyle w:val="963"/>
        <w:jc w:val="center"/>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授权委托书</w:t>
      </w:r>
      <w:r/>
    </w:p>
    <w:p>
      <w:pPr>
        <w:pStyle w:val="963"/>
        <w:jc w:val="both"/>
        <w:spacing w:line="360" w:lineRule="auto"/>
        <w:rPr>
          <w:rFonts w:ascii="宋体" w:hAnsi="宋体" w:eastAsia="宋体"/>
          <w:color w:val="auto"/>
          <w:sz w:val="28"/>
          <w:highlight w:val="none"/>
        </w:rPr>
      </w:pPr>
      <w:r>
        <w:rPr>
          <w:rFonts w:ascii="宋体" w:hAnsi="宋体" w:eastAsia="宋体"/>
          <w:color w:val="auto"/>
          <w:sz w:val="28"/>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szCs w:val="21"/>
          <w:highlight w:val="none"/>
          <w:u w:val="single"/>
        </w:rPr>
        <w:t xml:space="preserve">（姓名）</w:t>
      </w: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（供应商名称）</w:t>
      </w:r>
      <w:r>
        <w:rPr>
          <w:rFonts w:hint="eastAsia" w:ascii="宋体" w:hAnsi="宋体"/>
          <w:color w:val="auto"/>
          <w:szCs w:val="21"/>
          <w:highlight w:val="none"/>
        </w:rPr>
        <w:t xml:space="preserve">的法定代表人，现授权委托</w:t>
      </w:r>
      <w:r>
        <w:rPr>
          <w:rFonts w:hint="eastAsia" w:ascii="宋体" w:hAnsi="宋体"/>
          <w:color w:val="auto"/>
          <w:szCs w:val="21"/>
          <w:highlight w:val="none"/>
          <w:u w:val="single"/>
        </w:rPr>
        <w:t xml:space="preserve">（姓名）</w:t>
      </w:r>
      <w:r>
        <w:rPr>
          <w:rFonts w:hint="eastAsia" w:ascii="宋体" w:hAnsi="宋体"/>
          <w:color w:val="auto"/>
          <w:szCs w:val="21"/>
          <w:highlight w:val="none"/>
        </w:rPr>
        <w:t xml:space="preserve">为我公司授权代表（即代理人），以本公司的名义参加</w:t>
      </w:r>
      <w:r>
        <w:rPr>
          <w:rFonts w:hint="eastAsia" w:ascii="宋体" w:hAnsi="宋体"/>
          <w:color w:val="auto"/>
          <w:szCs w:val="21"/>
          <w:highlight w:val="none"/>
          <w:u w:val="single"/>
        </w:rPr>
        <w:t xml:space="preserve"> 苏州市原鑫招投标咨询服务有限公司</w:t>
      </w:r>
      <w:r>
        <w:rPr>
          <w:rFonts w:hint="eastAsia" w:ascii="宋体" w:hAnsi="宋体"/>
          <w:color w:val="auto"/>
          <w:szCs w:val="21"/>
          <w:highlight w:val="none"/>
        </w:rPr>
        <w:t xml:space="preserve"> 组织实施的编号为</w:t>
      </w:r>
      <w:r>
        <w:rPr>
          <w:rFonts w:hint="eastAsia" w:ascii="宋体" w:hAnsi="宋体"/>
          <w:color w:val="auto"/>
          <w:szCs w:val="21"/>
          <w:highlight w:val="none"/>
          <w:u w:val="single"/>
          <w:lang w:eastAsia="zh-CN"/>
        </w:rPr>
        <w:t xml:space="preserve">JSZC-320508-SZYX-C2026-0020</w:t>
      </w:r>
      <w:r>
        <w:rPr>
          <w:rFonts w:hint="eastAsia" w:ascii="宋体" w:hAnsi="宋体"/>
          <w:color w:val="auto"/>
          <w:szCs w:val="21"/>
          <w:highlight w:val="none"/>
        </w:rPr>
        <w:t xml:space="preserve">号的磋商活动。授权代表在磋商活动过程中所签署的一切文件和处理与这有关的一切事务，我均予以承认。</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授权代表无转委托权。特此委托。</w:t>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供应商：（公章）</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代理人：（签字或盖章）</w:t>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pStyle w:val="963"/>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年　　月　　日</w:t>
      </w:r>
      <w:r/>
    </w:p>
    <w:p>
      <w:pPr>
        <w:pStyle w:val="963"/>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pStyle w:val="963"/>
        <w:ind w:firstLine="0"/>
        <w:rPr>
          <w:rFonts w:ascii="宋体" w:hAnsi="宋体" w:eastAsia="宋体"/>
          <w:color w:val="auto"/>
          <w:highlight w:val="none"/>
        </w:rPr>
      </w:pPr>
      <w:r>
        <w:rPr>
          <w:rFonts w:ascii="宋体" w:hAnsi="宋体" w:eastAsia="宋体"/>
          <w:color w:val="auto"/>
          <w:highlight w:val="none"/>
        </w:rPr>
      </w:r>
      <w:r/>
    </w:p>
    <w:p>
      <w:pPr>
        <w:pStyle w:val="980"/>
        <w:spacing w:line="380" w:lineRule="exact"/>
        <w:rPr>
          <w:rFonts w:hAnsi="宋体" w:eastAsia="宋体"/>
          <w:b/>
          <w:color w:val="auto"/>
          <w:sz w:val="21"/>
          <w:szCs w:val="21"/>
          <w:highlight w:val="none"/>
        </w:rPr>
      </w:pPr>
      <w:r>
        <w:rPr>
          <w:rFonts w:hint="eastAsia" w:hAnsi="宋体" w:eastAsia="宋体"/>
          <w:color w:val="auto"/>
          <w:highlight w:val="none"/>
        </w:rPr>
        <w:t xml:space="preserve">后附身份证</w:t>
      </w:r>
      <w:r>
        <w:rPr>
          <w:rFonts w:hAnsi="宋体" w:eastAsia="宋体"/>
          <w:color w:val="auto"/>
          <w:highlight w:val="none"/>
        </w:rPr>
        <w:br w:type="page" w:clear="all"/>
      </w:r>
      <w:r>
        <w:rPr>
          <w:rFonts w:hint="eastAsia" w:hAnsi="宋体" w:eastAsia="宋体"/>
          <w:b/>
          <w:color w:val="auto"/>
          <w:sz w:val="21"/>
          <w:szCs w:val="21"/>
          <w:highlight w:val="none"/>
        </w:rPr>
        <w:t xml:space="preserve">格式2、磋商响应函</w:t>
      </w:r>
      <w:r/>
    </w:p>
    <w:p>
      <w:pPr>
        <w:pStyle w:val="980"/>
        <w:jc w:val="center"/>
        <w:spacing w:line="380" w:lineRule="exact"/>
        <w:rPr>
          <w:rFonts w:hAnsi="宋体" w:eastAsia="宋体"/>
          <w:b/>
          <w:color w:val="auto"/>
          <w:sz w:val="21"/>
          <w:szCs w:val="21"/>
          <w:highlight w:val="none"/>
        </w:rPr>
      </w:pPr>
      <w:r>
        <w:rPr>
          <w:rFonts w:hint="eastAsia" w:hAnsi="宋体" w:eastAsia="宋体"/>
          <w:b/>
          <w:color w:val="auto"/>
          <w:sz w:val="21"/>
          <w:szCs w:val="21"/>
          <w:highlight w:val="none"/>
        </w:rPr>
        <w:t xml:space="preserve">磋商响应函</w:t>
      </w:r>
      <w:r/>
    </w:p>
    <w:p>
      <w:pPr>
        <w:pStyle w:val="980"/>
        <w:jc w:val="center"/>
        <w:spacing w:line="380" w:lineRule="exact"/>
        <w:rPr>
          <w:rFonts w:hAnsi="宋体" w:eastAsia="宋体"/>
          <w:color w:val="auto"/>
          <w:sz w:val="24"/>
          <w:highlight w:val="none"/>
        </w:rPr>
      </w:pPr>
      <w:r>
        <w:rPr>
          <w:rFonts w:hAnsi="宋体" w:eastAsia="宋体"/>
          <w:color w:val="auto"/>
          <w:sz w:val="24"/>
          <w:highlight w:val="none"/>
        </w:rPr>
      </w:r>
      <w:r/>
    </w:p>
    <w:p>
      <w:pPr>
        <w:pStyle w:val="980"/>
        <w:spacing w:line="38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  苏州市原鑫招投标咨询服务有限公司   </w:t>
      </w:r>
      <w:r>
        <w:rPr>
          <w:rFonts w:hint="eastAsia" w:hAnsi="宋体" w:eastAsia="宋体"/>
          <w:color w:val="auto"/>
          <w:sz w:val="21"/>
          <w:szCs w:val="21"/>
          <w:highlight w:val="none"/>
        </w:rPr>
        <w:t xml:space="preserve">：</w:t>
      </w:r>
      <w:r/>
    </w:p>
    <w:p>
      <w:pPr>
        <w:pStyle w:val="980"/>
        <w:spacing w:line="380" w:lineRule="exact"/>
        <w:rPr>
          <w:rFonts w:hAnsi="宋体" w:eastAsia="宋体"/>
          <w:color w:val="auto"/>
          <w:sz w:val="21"/>
          <w:szCs w:val="21"/>
          <w:highlight w:val="none"/>
        </w:rPr>
      </w:pPr>
      <w:r>
        <w:rPr>
          <w:rFonts w:hAnsi="宋体" w:eastAsia="宋体"/>
          <w:color w:val="auto"/>
          <w:sz w:val="21"/>
          <w:szCs w:val="21"/>
          <w:highlight w:val="none"/>
        </w:rPr>
      </w:r>
      <w:r/>
    </w:p>
    <w:p>
      <w:pPr>
        <w:pStyle w:val="1146"/>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lang w:eastAsia="zh-CN"/>
        </w:rPr>
        <w:t xml:space="preserve">JSZC-320508-SZYX-C2026-0020</w:t>
      </w:r>
      <w:r>
        <w:rPr>
          <w:rFonts w:hint="eastAsia" w:hAnsi="宋体" w:eastAsia="宋体"/>
          <w:color w:val="auto"/>
          <w:sz w:val="21"/>
          <w:szCs w:val="21"/>
          <w:highlight w:val="none"/>
        </w:rPr>
        <w:t xml:space="preserve">号磋商文件，经仔细阅读和研究，我们决定参加磋商活动。</w:t>
      </w:r>
      <w:r/>
    </w:p>
    <w:p>
      <w:pPr>
        <w:pStyle w:val="1146"/>
        <w:ind w:firstLine="420"/>
        <w:spacing w:line="360" w:lineRule="auto"/>
        <w:rPr>
          <w:rFonts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、我们愿意按照磋商文件的一切要求，完成该项目的全部内容。</w:t>
      </w:r>
      <w:r/>
    </w:p>
    <w:p>
      <w:pPr>
        <w:pStyle w:val="1146"/>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、如果我们的磋商响应文件被接受，我们将严格履行磋商文件中规定的每一项要求，按期、按质、按量履行合同的义务。</w:t>
      </w:r>
      <w:r/>
    </w:p>
    <w:p>
      <w:pPr>
        <w:pStyle w:val="1146"/>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磋商文件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，对磋商文件及更正公告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1146"/>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4、我们同意按磋商文件中的规定，本响应文件的有效期限自提交响应文件截止时间之日起</w:t>
      </w:r>
      <w:r>
        <w:rPr>
          <w:rFonts w:hint="eastAsia" w:hAnsi="宋体" w:eastAsia="宋体"/>
          <w:color w:val="auto"/>
          <w:sz w:val="21"/>
          <w:szCs w:val="21"/>
          <w:highlight w:val="none"/>
          <w:u w:val="single"/>
        </w:rPr>
        <w:t xml:space="preserve">60</w:t>
      </w:r>
      <w:r>
        <w:rPr>
          <w:rFonts w:hint="eastAsia" w:hAnsi="宋体" w:eastAsia="宋体"/>
          <w:color w:val="auto"/>
          <w:sz w:val="21"/>
          <w:szCs w:val="21"/>
          <w:highlight w:val="none"/>
        </w:rPr>
        <w:t xml:space="preserve">天。</w:t>
      </w:r>
      <w:r/>
    </w:p>
    <w:p>
      <w:pPr>
        <w:pStyle w:val="1146"/>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5、我们愿意提供磋商文件中要求的相关资料。</w:t>
      </w:r>
      <w:r/>
    </w:p>
    <w:p>
      <w:pPr>
        <w:pStyle w:val="1146"/>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6、我们愿意遵守磋商文件中所列的收费标准。</w:t>
      </w:r>
      <w:r/>
    </w:p>
    <w:p>
      <w:pPr>
        <w:pStyle w:val="1146"/>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7、我们承诺该响应文件在磋商开始后的全过程中保持有效，不作任何更改和变动。</w:t>
      </w:r>
      <w:r/>
    </w:p>
    <w:p>
      <w:pPr>
        <w:pStyle w:val="1146"/>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8、我们承诺我公司符合磋商文件中“合格供应商的基本、特定条件”的要求，若与真实情况不符，本公司愿意承担由此而产生的一切后果。</w:t>
      </w:r>
      <w:r/>
    </w:p>
    <w:p>
      <w:pPr>
        <w:pStyle w:val="1146"/>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9、所有有关磋商文件的函电，请按下列地址联系：</w:t>
      </w:r>
      <w:r/>
    </w:p>
    <w:p>
      <w:pPr>
        <w:pStyle w:val="1146"/>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1146"/>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1146"/>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1146"/>
        <w:ind w:left="3399" w:firstLine="73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146"/>
        <w:ind w:left="3824" w:firstLine="31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146"/>
        <w:ind w:left="3399" w:firstLine="73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年月日</w:t>
      </w:r>
      <w:r/>
    </w:p>
    <w:p>
      <w:pPr>
        <w:pStyle w:val="980"/>
        <w:spacing w:line="360" w:lineRule="auto"/>
        <w:rPr>
          <w:rFonts w:hAnsi="宋体" w:eastAsia="宋体"/>
          <w:b/>
          <w:color w:val="auto"/>
          <w:sz w:val="21"/>
          <w:szCs w:val="21"/>
          <w:highlight w:val="none"/>
        </w:rPr>
      </w:pPr>
      <w:r>
        <w:rPr>
          <w:rFonts w:hAnsi="宋体" w:eastAsia="宋体"/>
          <w:b/>
          <w:color w:val="auto"/>
          <w:sz w:val="24"/>
          <w:szCs w:val="24"/>
          <w:highlight w:val="none"/>
        </w:rPr>
        <w:br w:type="page" w:clear="all"/>
      </w:r>
      <w:r>
        <w:rPr>
          <w:rFonts w:hint="eastAsia" w:hAnsi="宋体" w:eastAsia="宋体"/>
          <w:b/>
          <w:color w:val="auto"/>
          <w:sz w:val="21"/>
          <w:szCs w:val="21"/>
          <w:highlight w:val="none"/>
        </w:rPr>
        <w:t xml:space="preserve">格式</w:t>
      </w:r>
      <w:r>
        <w:rPr>
          <w:rFonts w:hAnsi="宋体" w:eastAsia="宋体"/>
          <w:b/>
          <w:color w:val="auto"/>
          <w:sz w:val="21"/>
          <w:szCs w:val="21"/>
          <w:highlight w:val="none"/>
        </w:rPr>
        <w:t xml:space="preserve">3</w:t>
      </w:r>
      <w:r>
        <w:rPr>
          <w:rFonts w:hint="eastAsia" w:hAnsi="宋体" w:eastAsia="宋体"/>
          <w:b/>
          <w:color w:val="auto"/>
          <w:sz w:val="21"/>
          <w:szCs w:val="21"/>
          <w:highlight w:val="none"/>
        </w:rPr>
        <w:t xml:space="preserve">、磋商报价表</w:t>
      </w:r>
      <w:r/>
    </w:p>
    <w:p>
      <w:pPr>
        <w:pStyle w:val="980"/>
        <w:jc w:val="center"/>
        <w:spacing w:line="360" w:lineRule="auto"/>
        <w:rPr>
          <w:rFonts w:hAnsi="宋体" w:eastAsia="宋体"/>
          <w:b/>
          <w:color w:val="auto"/>
          <w:sz w:val="21"/>
          <w:szCs w:val="21"/>
          <w:highlight w:val="none"/>
        </w:rPr>
      </w:pPr>
      <w:r>
        <w:rPr>
          <w:rFonts w:hint="eastAsia" w:hAnsi="宋体" w:eastAsia="宋体"/>
          <w:b/>
          <w:color w:val="auto"/>
          <w:sz w:val="21"/>
          <w:szCs w:val="21"/>
          <w:highlight w:val="none"/>
        </w:rPr>
        <w:t xml:space="preserve">磋商报价表</w:t>
      </w:r>
      <w:r/>
    </w:p>
    <w:p>
      <w:pPr>
        <w:pStyle w:val="980"/>
        <w:spacing w:line="380" w:lineRule="exact"/>
        <w:rPr>
          <w:rFonts w:hAnsi="宋体" w:eastAsia="宋体"/>
          <w:b/>
          <w:color w:val="auto"/>
          <w:sz w:val="24"/>
          <w:highlight w:val="none"/>
        </w:rPr>
      </w:pPr>
      <w:r>
        <w:rPr>
          <w:rFonts w:hAnsi="宋体" w:eastAsia="宋体"/>
          <w:b/>
          <w:color w:val="auto"/>
          <w:sz w:val="24"/>
          <w:highlight w:val="none"/>
        </w:rPr>
      </w:r>
      <w:r/>
    </w:p>
    <w:tbl>
      <w:tblPr>
        <w:tblStyle w:val="962"/>
        <w:tblW w:w="94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663"/>
        <w:gridCol w:w="3546"/>
        <w:gridCol w:w="2444"/>
      </w:tblGrid>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54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w:t>
            </w:r>
            <w:r>
              <w:rPr>
                <w:rFonts w:hint="eastAsia" w:ascii="宋体" w:hAnsi="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6"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146"/>
        <w:ind w:firstLine="625"/>
        <w:spacing w:line="360" w:lineRule="exact"/>
        <w:rPr>
          <w:rFonts w:hAnsi="宋体" w:eastAsia="宋体"/>
          <w:color w:val="auto"/>
          <w:spacing w:val="20"/>
          <w:sz w:val="21"/>
          <w:szCs w:val="21"/>
          <w:highlight w:val="none"/>
        </w:rPr>
      </w:pPr>
      <w:r>
        <w:rPr>
          <w:rFonts w:hAnsi="宋体" w:eastAsia="宋体"/>
          <w:color w:val="auto"/>
          <w:spacing w:val="20"/>
          <w:sz w:val="21"/>
          <w:szCs w:val="21"/>
          <w:highlight w:val="none"/>
        </w:rPr>
      </w:r>
      <w:r/>
    </w:p>
    <w:p>
      <w:pPr>
        <w:pStyle w:val="1146"/>
        <w:ind w:firstLine="525"/>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146"/>
        <w:ind w:firstLine="525"/>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146"/>
        <w:ind w:firstLine="525"/>
        <w:spacing w:line="360" w:lineRule="exact"/>
        <w:rPr>
          <w:rFonts w:hAnsi="宋体" w:eastAsia="宋体"/>
          <w:b/>
          <w:color w:val="auto"/>
          <w:sz w:val="21"/>
          <w:szCs w:val="21"/>
          <w:highlight w:val="none"/>
        </w:rPr>
      </w:pPr>
      <w:r>
        <w:rPr>
          <w:rFonts w:hint="eastAsia" w:hAnsi="宋体" w:eastAsia="宋体"/>
          <w:color w:val="auto"/>
          <w:sz w:val="21"/>
          <w:szCs w:val="21"/>
          <w:highlight w:val="none"/>
        </w:rPr>
        <w:t xml:space="preserve">日期：</w:t>
      </w:r>
      <w:r/>
    </w:p>
    <w:p>
      <w:pPr>
        <w:pStyle w:val="963"/>
        <w:ind w:firstLine="0"/>
        <w:spacing w:line="36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963"/>
        <w:ind w:firstLine="0"/>
        <w:spacing w:line="360" w:lineRule="exact"/>
        <w:rPr>
          <w:rFonts w:ascii="宋体" w:hAnsi="宋体" w:eastAsia="宋体"/>
          <w:color w:val="auto"/>
          <w:szCs w:val="24"/>
          <w:highlight w:val="none"/>
        </w:rPr>
      </w:pPr>
      <w:r>
        <w:rPr>
          <w:rFonts w:ascii="宋体" w:hAnsi="宋体" w:eastAsia="宋体"/>
          <w:color w:val="auto"/>
          <w:szCs w:val="24"/>
          <w:highlight w:val="none"/>
        </w:rPr>
      </w:r>
      <w:r/>
    </w:p>
    <w:p>
      <w:pPr>
        <w:pStyle w:val="963"/>
        <w:ind w:firstLine="0"/>
        <w:spacing w:line="360" w:lineRule="exact"/>
        <w:rPr>
          <w:rFonts w:ascii="宋体" w:hAnsi="宋体" w:eastAsia="宋体"/>
          <w:color w:val="auto"/>
          <w:szCs w:val="24"/>
          <w:highlight w:val="none"/>
        </w:rPr>
      </w:pPr>
      <w:r>
        <w:rPr>
          <w:rFonts w:ascii="宋体" w:hAnsi="宋体" w:eastAsia="宋体"/>
          <w:color w:val="auto"/>
          <w:szCs w:val="24"/>
          <w:highlight w:val="none"/>
        </w:rPr>
      </w:r>
      <w:r/>
    </w:p>
    <w:p>
      <w:pPr>
        <w:pStyle w:val="963"/>
        <w:ind w:firstLine="0"/>
        <w:spacing w:line="360" w:lineRule="exact"/>
        <w:rPr>
          <w:rFonts w:ascii="宋体" w:hAnsi="宋体" w:eastAsia="宋体"/>
          <w:color w:val="auto"/>
          <w:szCs w:val="24"/>
          <w:highlight w:val="none"/>
        </w:rPr>
      </w:pPr>
      <w:r>
        <w:rPr>
          <w:rFonts w:ascii="宋体" w:hAnsi="宋体" w:eastAsia="宋体"/>
          <w:color w:val="auto"/>
          <w:szCs w:val="24"/>
          <w:highlight w:val="none"/>
        </w:rPr>
      </w:r>
      <w:r/>
    </w:p>
    <w:p>
      <w:pPr>
        <w:pStyle w:val="974"/>
        <w:jc w:val="center"/>
        <w:rPr>
          <w:rFonts w:hint="default" w:eastAsia="宋体" w:cs="宋体"/>
          <w:b/>
          <w:bCs/>
          <w:color w:val="auto"/>
          <w:sz w:val="21"/>
          <w:highlight w:val="none"/>
          <w:lang w:val="en-US" w:eastAsia="zh-CN"/>
        </w:rPr>
      </w:pPr>
      <w:r>
        <w:rPr>
          <w:rFonts w:hint="eastAsia" w:cs="宋体"/>
          <w:b/>
          <w:bCs/>
          <w:color w:val="auto"/>
          <w:sz w:val="21"/>
          <w:highlight w:val="none"/>
          <w:lang w:val="en-US" w:eastAsia="zh-CN"/>
        </w:rPr>
        <w:t xml:space="preserve">磋商</w:t>
      </w:r>
      <w:r>
        <w:rPr>
          <w:rFonts w:hint="eastAsia" w:cs="宋体"/>
          <w:b/>
          <w:bCs/>
          <w:color w:val="auto"/>
          <w:sz w:val="21"/>
          <w:highlight w:val="none"/>
        </w:rPr>
        <w:t xml:space="preserve">分项报价</w:t>
      </w:r>
      <w:r>
        <w:rPr>
          <w:rFonts w:hint="eastAsia" w:cs="宋体"/>
          <w:b/>
          <w:bCs/>
          <w:color w:val="auto"/>
          <w:sz w:val="21"/>
          <w:highlight w:val="none"/>
          <w:lang w:val="en-US" w:eastAsia="zh-CN"/>
        </w:rPr>
        <w:t xml:space="preserve">明细表</w:t>
      </w:r>
      <w:r/>
    </w:p>
    <w:p>
      <w:pPr>
        <w:pStyle w:val="974"/>
        <w:rPr>
          <w:rFonts w:hint="eastAsia" w:cs="宋体"/>
          <w:color w:val="auto"/>
          <w:sz w:val="21"/>
          <w:highlight w:val="none"/>
        </w:rPr>
      </w:pPr>
      <w:r>
        <w:rPr>
          <w:rFonts w:hint="eastAsia" w:cs="宋体"/>
          <w:color w:val="auto"/>
          <w:sz w:val="21"/>
          <w:highlight w:val="none"/>
        </w:rPr>
        <w:t xml:space="preserve">                                             </w:t>
      </w:r>
      <w:r/>
    </w:p>
    <w:tbl>
      <w:tblPr>
        <w:tblStyle w:val="962"/>
        <w:tblW w:w="92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8"/>
        <w:gridCol w:w="1261"/>
        <w:gridCol w:w="1660"/>
        <w:gridCol w:w="1190"/>
        <w:gridCol w:w="851"/>
        <w:gridCol w:w="992"/>
        <w:gridCol w:w="850"/>
        <w:gridCol w:w="1728"/>
      </w:tblGrid>
      <w:tr>
        <w:trPr>
          <w:cantSplit/>
          <w:jc w:val="center"/>
          <w:trHeight w:val="510"/>
        </w:trPr>
        <w:tc>
          <w:tcPr>
            <w:tcW w:w="708" w:type="dxa"/>
            <w:vAlign w:val="center"/>
            <w:textDirection w:val="lrTb"/>
            <w:noWrap w:val="false"/>
          </w:tcPr>
          <w:p>
            <w:pPr>
              <w:jc w:val="center"/>
              <w:spacing w:line="440" w:lineRule="exact"/>
              <w:rPr>
                <w:rFonts w:hint="eastAsia" w:cs="宋体"/>
                <w:color w:val="auto"/>
                <w:highlight w:val="none"/>
              </w:rPr>
            </w:pPr>
            <w:r>
              <w:rPr>
                <w:rFonts w:hint="eastAsia" w:cs="宋体"/>
                <w:color w:val="auto"/>
                <w:highlight w:val="none"/>
              </w:rPr>
              <w:t xml:space="preserve">序号</w:t>
            </w:r>
            <w:r/>
          </w:p>
        </w:tc>
        <w:tc>
          <w:tcPr>
            <w:tcBorders>
              <w:right w:val="single" w:color="auto" w:sz="4" w:space="0"/>
            </w:tcBorders>
            <w:tcW w:w="1261" w:type="dxa"/>
            <w:vAlign w:val="center"/>
            <w:textDirection w:val="lrTb"/>
            <w:noWrap w:val="false"/>
          </w:tcPr>
          <w:p>
            <w:pPr>
              <w:jc w:val="center"/>
              <w:spacing w:line="440" w:lineRule="exact"/>
              <w:rPr>
                <w:rFonts w:hint="eastAsia" w:cs="宋体"/>
                <w:color w:val="auto"/>
                <w:highlight w:val="none"/>
              </w:rPr>
            </w:pPr>
            <w:r>
              <w:rPr>
                <w:rFonts w:hint="eastAsia" w:cs="宋体"/>
                <w:color w:val="auto"/>
                <w:highlight w:val="none"/>
              </w:rPr>
              <w:t xml:space="preserve">名称</w:t>
            </w:r>
            <w:r/>
          </w:p>
        </w:tc>
        <w:tc>
          <w:tcPr>
            <w:tcBorders>
              <w:left w:val="single" w:color="auto" w:sz="4" w:space="0"/>
              <w:right w:val="single" w:color="auto" w:sz="4" w:space="0"/>
            </w:tcBorders>
            <w:tcW w:w="1660" w:type="dxa"/>
            <w:vAlign w:val="center"/>
            <w:textDirection w:val="lrTb"/>
            <w:noWrap w:val="false"/>
          </w:tcPr>
          <w:p>
            <w:pPr>
              <w:jc w:val="center"/>
              <w:spacing w:line="440" w:lineRule="exact"/>
              <w:rPr>
                <w:rFonts w:hint="eastAsia" w:cs="宋体"/>
                <w:color w:val="auto"/>
                <w:highlight w:val="none"/>
              </w:rPr>
            </w:pPr>
            <w:r>
              <w:rPr>
                <w:rFonts w:hint="eastAsia" w:cs="宋体"/>
                <w:color w:val="auto"/>
                <w:highlight w:val="none"/>
              </w:rPr>
              <w:t xml:space="preserve">服务内容</w:t>
            </w:r>
            <w:r/>
          </w:p>
        </w:tc>
        <w:tc>
          <w:tcPr>
            <w:tcBorders>
              <w:left w:val="single" w:color="auto" w:sz="4" w:space="0"/>
              <w:right w:val="single" w:color="auto" w:sz="4" w:space="0"/>
            </w:tcBorders>
            <w:tcW w:w="1190" w:type="dxa"/>
            <w:vAlign w:val="center"/>
            <w:textDirection w:val="lrTb"/>
            <w:noWrap w:val="false"/>
          </w:tcPr>
          <w:p>
            <w:pPr>
              <w:jc w:val="center"/>
              <w:spacing w:line="440" w:lineRule="exact"/>
              <w:rPr>
                <w:rFonts w:hint="eastAsia" w:cs="宋体"/>
                <w:color w:val="auto"/>
                <w:highlight w:val="none"/>
              </w:rPr>
            </w:pPr>
            <w:r>
              <w:rPr>
                <w:rFonts w:hint="eastAsia" w:cs="宋体"/>
                <w:color w:val="auto"/>
                <w:highlight w:val="none"/>
              </w:rPr>
              <w:t xml:space="preserve">实施单位</w:t>
            </w:r>
            <w:r/>
          </w:p>
        </w:tc>
        <w:tc>
          <w:tcPr>
            <w:tcBorders>
              <w:left w:val="single" w:color="auto" w:sz="4" w:space="0"/>
            </w:tcBorders>
            <w:tcW w:w="851" w:type="dxa"/>
            <w:vAlign w:val="center"/>
            <w:textDirection w:val="lrTb"/>
            <w:noWrap w:val="false"/>
          </w:tcPr>
          <w:p>
            <w:pPr>
              <w:jc w:val="center"/>
              <w:spacing w:line="440" w:lineRule="exact"/>
              <w:rPr>
                <w:rFonts w:hint="eastAsia" w:cs="宋体"/>
                <w:color w:val="auto"/>
                <w:highlight w:val="none"/>
              </w:rPr>
            </w:pPr>
            <w:r>
              <w:rPr>
                <w:rFonts w:hint="eastAsia" w:cs="宋体"/>
                <w:color w:val="auto"/>
                <w:highlight w:val="none"/>
              </w:rPr>
              <w:t xml:space="preserve">数量</w:t>
            </w:r>
            <w:r/>
          </w:p>
        </w:tc>
        <w:tc>
          <w:tcPr>
            <w:tcBorders>
              <w:bottom w:val="single" w:color="auto" w:sz="4" w:space="0"/>
              <w:right w:val="single" w:color="auto" w:sz="4" w:space="0"/>
            </w:tcBorders>
            <w:tcW w:w="992" w:type="dxa"/>
            <w:vAlign w:val="center"/>
            <w:textDirection w:val="lrTb"/>
            <w:noWrap w:val="false"/>
          </w:tcPr>
          <w:p>
            <w:pPr>
              <w:jc w:val="center"/>
              <w:spacing w:line="440" w:lineRule="exact"/>
              <w:rPr>
                <w:rFonts w:hint="eastAsia" w:cs="宋体"/>
                <w:color w:val="auto"/>
                <w:highlight w:val="none"/>
              </w:rPr>
            </w:pPr>
            <w:r>
              <w:rPr>
                <w:rFonts w:hint="eastAsia" w:cs="宋体"/>
                <w:color w:val="auto"/>
                <w:highlight w:val="none"/>
              </w:rPr>
              <w:t xml:space="preserve">单价（元）</w:t>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hint="eastAsia" w:cs="宋体"/>
                <w:color w:val="auto"/>
                <w:highlight w:val="none"/>
              </w:rPr>
            </w:pPr>
            <w:r>
              <w:rPr>
                <w:rFonts w:hint="eastAsia" w:cs="宋体"/>
                <w:color w:val="auto"/>
                <w:highlight w:val="none"/>
              </w:rPr>
              <w:t xml:space="preserve">总价（元）</w:t>
            </w:r>
            <w:r/>
          </w:p>
        </w:tc>
        <w:tc>
          <w:tcPr>
            <w:tcBorders>
              <w:left w:val="single" w:color="auto" w:sz="4" w:space="0"/>
              <w:bottom w:val="single" w:color="auto" w:sz="4" w:space="0"/>
            </w:tcBorders>
            <w:tcW w:w="1728" w:type="dxa"/>
            <w:vAlign w:val="center"/>
            <w:textDirection w:val="lrTb"/>
            <w:noWrap w:val="false"/>
          </w:tcPr>
          <w:p>
            <w:pPr>
              <w:jc w:val="center"/>
              <w:spacing w:line="440" w:lineRule="exact"/>
              <w:rPr>
                <w:rFonts w:hint="eastAsia" w:eastAsia="宋体" w:cs="宋体"/>
                <w:color w:val="auto"/>
                <w:highlight w:val="none"/>
                <w:lang w:val="en-US" w:eastAsia="zh-CN"/>
              </w:rPr>
            </w:pPr>
            <w:r>
              <w:rPr>
                <w:rFonts w:hint="eastAsia" w:cs="宋体"/>
                <w:color w:val="auto"/>
                <w:highlight w:val="none"/>
                <w:lang w:val="en-US" w:eastAsia="zh-CN"/>
              </w:rPr>
              <w:t xml:space="preserve">备注</w:t>
            </w:r>
            <w:r/>
          </w:p>
        </w:tc>
      </w:tr>
      <w:tr>
        <w:trPr>
          <w:cantSplit/>
          <w:jc w:val="center"/>
          <w:trHeight w:val="510"/>
        </w:trPr>
        <w:tc>
          <w:tcPr>
            <w:tcW w:w="708" w:type="dxa"/>
            <w:vAlign w:val="center"/>
            <w:textDirection w:val="lrTb"/>
            <w:noWrap w:val="false"/>
          </w:tcPr>
          <w:p>
            <w:pPr>
              <w:jc w:val="center"/>
              <w:spacing w:line="440" w:lineRule="exact"/>
              <w:rPr>
                <w:rFonts w:hint="eastAsia" w:cs="宋体"/>
                <w:color w:val="auto"/>
                <w:highlight w:val="none"/>
              </w:rPr>
            </w:pPr>
            <w:r>
              <w:rPr>
                <w:rFonts w:hint="eastAsia" w:cs="宋体"/>
                <w:color w:val="auto"/>
                <w:highlight w:val="none"/>
              </w:rPr>
              <w:t xml:space="preserve">1</w:t>
            </w:r>
            <w:r/>
          </w:p>
        </w:tc>
        <w:tc>
          <w:tcPr>
            <w:tcBorders>
              <w:right w:val="single" w:color="auto" w:sz="4" w:space="0"/>
            </w:tcBorders>
            <w:tcW w:w="1261"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1660"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1190"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tcBorders>
            <w:tcW w:w="851"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right w:val="single" w:color="auto" w:sz="4" w:space="0"/>
            </w:tcBorders>
            <w:tcW w:w="992"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left w:val="single" w:color="auto" w:sz="4" w:space="0"/>
              <w:right w:val="single" w:color="auto" w:sz="4" w:space="0"/>
            </w:tcBorders>
            <w:tcW w:w="850"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left w:val="single" w:color="auto" w:sz="4" w:space="0"/>
            </w:tcBorders>
            <w:tcW w:w="1728"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r>
      <w:tr>
        <w:trPr>
          <w:cantSplit/>
          <w:jc w:val="center"/>
          <w:trHeight w:val="510"/>
        </w:trPr>
        <w:tc>
          <w:tcPr>
            <w:tcW w:w="708" w:type="dxa"/>
            <w:vAlign w:val="center"/>
            <w:textDirection w:val="lrTb"/>
            <w:noWrap w:val="false"/>
          </w:tcPr>
          <w:p>
            <w:pPr>
              <w:jc w:val="center"/>
              <w:spacing w:line="440" w:lineRule="exact"/>
              <w:rPr>
                <w:rFonts w:hint="eastAsia" w:cs="宋体"/>
                <w:color w:val="auto"/>
                <w:highlight w:val="none"/>
              </w:rPr>
            </w:pPr>
            <w:r>
              <w:rPr>
                <w:rFonts w:hint="eastAsia" w:cs="宋体"/>
                <w:color w:val="auto"/>
                <w:highlight w:val="none"/>
              </w:rPr>
              <w:t xml:space="preserve">2</w:t>
            </w:r>
            <w:r/>
          </w:p>
        </w:tc>
        <w:tc>
          <w:tcPr>
            <w:tcBorders>
              <w:right w:val="single" w:color="auto" w:sz="4" w:space="0"/>
            </w:tcBorders>
            <w:tcW w:w="1261"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1660"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1190"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tcBorders>
            <w:tcW w:w="851"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right w:val="single" w:color="auto" w:sz="4" w:space="0"/>
            </w:tcBorders>
            <w:tcW w:w="992"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left w:val="single" w:color="auto" w:sz="4" w:space="0"/>
              <w:right w:val="single" w:color="auto" w:sz="4" w:space="0"/>
            </w:tcBorders>
            <w:tcW w:w="850"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left w:val="single" w:color="auto" w:sz="4" w:space="0"/>
            </w:tcBorders>
            <w:tcW w:w="1728"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r>
      <w:tr>
        <w:trPr>
          <w:cantSplit/>
          <w:jc w:val="center"/>
          <w:trHeight w:val="510"/>
        </w:trPr>
        <w:tc>
          <w:tcPr>
            <w:tcW w:w="708" w:type="dxa"/>
            <w:vAlign w:val="center"/>
            <w:textDirection w:val="lrTb"/>
            <w:noWrap w:val="false"/>
          </w:tcPr>
          <w:p>
            <w:pPr>
              <w:jc w:val="center"/>
              <w:spacing w:line="440" w:lineRule="exact"/>
              <w:rPr>
                <w:rFonts w:hint="eastAsia" w:cs="宋体"/>
                <w:color w:val="auto"/>
                <w:highlight w:val="none"/>
              </w:rPr>
            </w:pPr>
            <w:r>
              <w:rPr>
                <w:rFonts w:hint="eastAsia" w:cs="宋体"/>
                <w:color w:val="auto"/>
                <w:highlight w:val="none"/>
              </w:rPr>
              <w:t xml:space="preserve">3</w:t>
            </w:r>
            <w:r/>
          </w:p>
        </w:tc>
        <w:tc>
          <w:tcPr>
            <w:tcBorders>
              <w:right w:val="single" w:color="auto" w:sz="4" w:space="0"/>
            </w:tcBorders>
            <w:tcW w:w="1261"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1660"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1190"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tcBorders>
            <w:tcW w:w="851"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right w:val="single" w:color="auto" w:sz="4" w:space="0"/>
            </w:tcBorders>
            <w:tcW w:w="992"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left w:val="single" w:color="auto" w:sz="4" w:space="0"/>
              <w:right w:val="single" w:color="auto" w:sz="4" w:space="0"/>
            </w:tcBorders>
            <w:tcW w:w="850"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left w:val="single" w:color="auto" w:sz="4" w:space="0"/>
            </w:tcBorders>
            <w:tcW w:w="1728"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r>
      <w:tr>
        <w:trPr>
          <w:cantSplit/>
          <w:jc w:val="center"/>
          <w:trHeight w:val="510"/>
        </w:trPr>
        <w:tc>
          <w:tcPr>
            <w:tcW w:w="708" w:type="dxa"/>
            <w:vAlign w:val="center"/>
            <w:textDirection w:val="lrTb"/>
            <w:noWrap w:val="false"/>
          </w:tcPr>
          <w:p>
            <w:pPr>
              <w:jc w:val="center"/>
              <w:spacing w:line="440" w:lineRule="exact"/>
              <w:rPr>
                <w:rFonts w:hint="eastAsia" w:cs="宋体"/>
                <w:color w:val="auto"/>
                <w:highlight w:val="none"/>
              </w:rPr>
            </w:pPr>
            <w:r>
              <w:rPr>
                <w:rFonts w:hint="eastAsia" w:cs="宋体"/>
                <w:color w:val="auto"/>
                <w:highlight w:val="none"/>
              </w:rPr>
              <w:t xml:space="preserve">4</w:t>
            </w:r>
            <w:r/>
          </w:p>
        </w:tc>
        <w:tc>
          <w:tcPr>
            <w:tcBorders>
              <w:right w:val="single" w:color="auto" w:sz="4" w:space="0"/>
            </w:tcBorders>
            <w:tcW w:w="1261"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1660"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1190"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tcBorders>
            <w:tcW w:w="851"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right w:val="single" w:color="auto" w:sz="4" w:space="0"/>
            </w:tcBorders>
            <w:tcW w:w="992"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left w:val="single" w:color="auto" w:sz="4" w:space="0"/>
              <w:right w:val="single" w:color="auto" w:sz="4" w:space="0"/>
            </w:tcBorders>
            <w:tcW w:w="850"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left w:val="single" w:color="auto" w:sz="4" w:space="0"/>
            </w:tcBorders>
            <w:tcW w:w="1728"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r>
      <w:tr>
        <w:trPr>
          <w:cantSplit/>
          <w:jc w:val="center"/>
          <w:trHeight w:val="510"/>
        </w:trPr>
        <w:tc>
          <w:tcPr>
            <w:tcW w:w="708" w:type="dxa"/>
            <w:vAlign w:val="center"/>
            <w:textDirection w:val="lrTb"/>
            <w:noWrap w:val="false"/>
          </w:tcPr>
          <w:p>
            <w:pPr>
              <w:jc w:val="center"/>
              <w:spacing w:line="440" w:lineRule="exact"/>
              <w:rPr>
                <w:rFonts w:hint="eastAsia" w:cs="宋体"/>
                <w:color w:val="auto"/>
                <w:highlight w:val="none"/>
              </w:rPr>
            </w:pPr>
            <w:r>
              <w:rPr>
                <w:rFonts w:hint="eastAsia" w:cs="宋体"/>
                <w:color w:val="auto"/>
                <w:highlight w:val="none"/>
              </w:rPr>
              <w:t xml:space="preserve">5</w:t>
            </w:r>
            <w:r/>
          </w:p>
        </w:tc>
        <w:tc>
          <w:tcPr>
            <w:tcBorders>
              <w:right w:val="single" w:color="auto" w:sz="4" w:space="0"/>
            </w:tcBorders>
            <w:tcW w:w="1261"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1660"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1190"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tcBorders>
            <w:tcW w:w="851"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right w:val="single" w:color="auto" w:sz="4" w:space="0"/>
            </w:tcBorders>
            <w:tcW w:w="992"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left w:val="single" w:color="auto" w:sz="4" w:space="0"/>
              <w:right w:val="single" w:color="auto" w:sz="4" w:space="0"/>
            </w:tcBorders>
            <w:tcW w:w="850"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top w:val="single" w:color="auto" w:sz="4" w:space="0"/>
              <w:left w:val="single" w:color="auto" w:sz="4" w:space="0"/>
            </w:tcBorders>
            <w:tcW w:w="1728"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r>
      <w:tr>
        <w:trPr>
          <w:cantSplit/>
          <w:jc w:val="center"/>
          <w:trHeight w:val="510"/>
        </w:trPr>
        <w:tc>
          <w:tcPr>
            <w:tcW w:w="708" w:type="dxa"/>
            <w:vAlign w:val="center"/>
            <w:textDirection w:val="lrTb"/>
            <w:noWrap w:val="false"/>
          </w:tcPr>
          <w:p>
            <w:pPr>
              <w:jc w:val="center"/>
              <w:spacing w:line="440" w:lineRule="exact"/>
              <w:rPr>
                <w:rFonts w:hint="eastAsia" w:cs="宋体"/>
                <w:color w:val="auto"/>
                <w:highlight w:val="none"/>
              </w:rPr>
            </w:pPr>
            <w:r>
              <w:rPr>
                <w:rFonts w:hint="eastAsia" w:cs="宋体"/>
                <w:color w:val="auto"/>
                <w:highlight w:val="none"/>
              </w:rPr>
              <w:t xml:space="preserve">…</w:t>
            </w:r>
            <w:r/>
          </w:p>
        </w:tc>
        <w:tc>
          <w:tcPr>
            <w:tcBorders>
              <w:right w:val="single" w:color="auto" w:sz="4" w:space="0"/>
            </w:tcBorders>
            <w:tcW w:w="1261"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1660"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1190" w:type="dxa"/>
            <w:vAlign w:val="center"/>
            <w:textDirection w:val="lrTb"/>
            <w:noWrap w:val="false"/>
          </w:tcPr>
          <w:p>
            <w:pPr>
              <w:spacing w:line="440" w:lineRule="exact"/>
              <w:rPr>
                <w:rFonts w:hint="eastAsia" w:cs="宋体"/>
                <w:color w:val="auto"/>
                <w:highlight w:val="none"/>
              </w:rPr>
            </w:pPr>
            <w:r>
              <w:rPr>
                <w:rFonts w:hint="eastAsia" w:cs="宋体"/>
                <w:color w:val="auto"/>
                <w:highlight w:val="none"/>
              </w:rPr>
            </w:r>
            <w:r/>
          </w:p>
        </w:tc>
        <w:tc>
          <w:tcPr>
            <w:tcBorders>
              <w:left w:val="single" w:color="auto" w:sz="4" w:space="0"/>
            </w:tcBorders>
            <w:tcW w:w="851"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right w:val="single" w:color="auto" w:sz="4" w:space="0"/>
            </w:tcBorders>
            <w:tcW w:w="992"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850"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c>
          <w:tcPr>
            <w:tcBorders>
              <w:left w:val="single" w:color="auto" w:sz="4" w:space="0"/>
              <w:right w:val="single" w:color="auto" w:sz="4" w:space="0"/>
            </w:tcBorders>
            <w:tcW w:w="1728" w:type="dxa"/>
            <w:vAlign w:val="center"/>
            <w:textDirection w:val="lrTb"/>
            <w:noWrap w:val="false"/>
          </w:tcPr>
          <w:p>
            <w:pPr>
              <w:ind w:firstLine="420"/>
              <w:spacing w:line="440" w:lineRule="exact"/>
              <w:rPr>
                <w:rFonts w:hint="eastAsia" w:cs="宋体"/>
                <w:color w:val="auto"/>
                <w:highlight w:val="none"/>
              </w:rPr>
            </w:pPr>
            <w:r>
              <w:rPr>
                <w:rFonts w:hint="eastAsia" w:cs="宋体"/>
                <w:color w:val="auto"/>
                <w:highlight w:val="none"/>
              </w:rPr>
            </w:r>
            <w:r/>
          </w:p>
        </w:tc>
      </w:tr>
      <w:tr>
        <w:trPr>
          <w:cantSplit/>
          <w:jc w:val="center"/>
          <w:trHeight w:val="649"/>
        </w:trPr>
        <w:tc>
          <w:tcPr>
            <w:gridSpan w:val="2"/>
            <w:tcBorders>
              <w:bottom w:val="single" w:color="auto" w:sz="6" w:space="0"/>
              <w:right w:val="single" w:color="auto" w:sz="4" w:space="0"/>
            </w:tcBorders>
            <w:tcW w:w="1969" w:type="dxa"/>
            <w:vAlign w:val="center"/>
            <w:textDirection w:val="lrTb"/>
            <w:noWrap w:val="false"/>
          </w:tcPr>
          <w:p>
            <w:pPr>
              <w:jc w:val="center"/>
              <w:spacing w:line="440" w:lineRule="exact"/>
              <w:rPr>
                <w:rFonts w:hint="eastAsia" w:cs="宋体"/>
                <w:color w:val="auto"/>
                <w:highlight w:val="none"/>
                <w:u w:val="single"/>
              </w:rPr>
            </w:pPr>
            <w:r>
              <w:rPr>
                <w:rFonts w:hint="eastAsia" w:ascii="宋体" w:hAnsi="宋体" w:eastAsia="宋体" w:cs="宋体"/>
                <w:color w:val="auto"/>
                <w:sz w:val="21"/>
                <w:szCs w:val="21"/>
                <w:highlight w:val="none"/>
              </w:rPr>
              <w:t xml:space="preserve">磋商</w:t>
            </w:r>
            <w:r>
              <w:rPr>
                <w:rFonts w:hint="eastAsia" w:ascii="宋体" w:hAnsi="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rPr>
              <w:t xml:space="preserve">报价</w:t>
            </w:r>
            <w:r/>
          </w:p>
        </w:tc>
        <w:tc>
          <w:tcPr>
            <w:gridSpan w:val="6"/>
            <w:tcBorders>
              <w:left w:val="single" w:color="auto" w:sz="4" w:space="0"/>
              <w:bottom w:val="single" w:color="auto" w:sz="6" w:space="0"/>
              <w:right w:val="single" w:color="auto" w:sz="4" w:space="0"/>
            </w:tcBorders>
            <w:tcW w:w="7271" w:type="dxa"/>
            <w:vAlign w:val="center"/>
            <w:textDirection w:val="lrTb"/>
            <w:noWrap w:val="false"/>
          </w:tcPr>
          <w:p>
            <w:pPr>
              <w:jc w:val="both"/>
              <w:spacing w:line="440" w:lineRule="exact"/>
              <w:rPr>
                <w:rFonts w:hint="eastAsia" w:cs="宋体"/>
                <w:color w:val="auto"/>
                <w:highlight w:val="none"/>
                <w:u w:val="single"/>
              </w:rPr>
            </w:pPr>
            <w:r>
              <w:rPr>
                <w:rFonts w:hint="eastAsia" w:cs="宋体"/>
                <w:color w:val="auto"/>
                <w:highlight w:val="none"/>
              </w:rPr>
              <w:t xml:space="preserve">人民币（大写）</w:t>
            </w:r>
            <w:r>
              <w:rPr>
                <w:rFonts w:hint="eastAsia" w:cs="宋体"/>
                <w:color w:val="auto"/>
                <w:highlight w:val="none"/>
                <w:u w:val="single"/>
              </w:rPr>
              <w:t xml:space="preserve">                     </w:t>
            </w:r>
            <w:r>
              <w:rPr>
                <w:rFonts w:hint="eastAsia" w:cs="宋体"/>
                <w:color w:val="auto"/>
                <w:highlight w:val="none"/>
              </w:rPr>
              <w:t xml:space="preserve">（小写）￥</w:t>
            </w:r>
            <w:r>
              <w:rPr>
                <w:rFonts w:hint="eastAsia" w:cs="宋体"/>
                <w:color w:val="auto"/>
                <w:highlight w:val="none"/>
                <w:u w:val="single"/>
              </w:rPr>
              <w:t xml:space="preserve"> </w:t>
            </w:r>
            <w:r>
              <w:rPr>
                <w:rFonts w:cs="宋体"/>
                <w:color w:val="auto"/>
                <w:highlight w:val="none"/>
                <w:u w:val="single"/>
              </w:rPr>
              <w:t xml:space="preserve">            </w:t>
            </w:r>
            <w:r/>
          </w:p>
        </w:tc>
      </w:tr>
    </w:tbl>
    <w:p>
      <w:pPr>
        <w:pStyle w:val="1146"/>
        <w:ind w:firstLine="525"/>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146"/>
        <w:ind w:firstLine="525"/>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146"/>
        <w:ind w:firstLine="525"/>
        <w:spacing w:line="360" w:lineRule="exact"/>
        <w:rPr>
          <w:rFonts w:hAnsi="宋体" w:eastAsia="宋体"/>
          <w:b/>
          <w:color w:val="auto"/>
          <w:sz w:val="21"/>
          <w:szCs w:val="21"/>
          <w:highlight w:val="none"/>
        </w:rPr>
      </w:pPr>
      <w:r>
        <w:rPr>
          <w:rFonts w:hint="eastAsia" w:hAnsi="宋体" w:eastAsia="宋体"/>
          <w:color w:val="auto"/>
          <w:sz w:val="21"/>
          <w:szCs w:val="21"/>
          <w:highlight w:val="none"/>
        </w:rPr>
        <w:t xml:space="preserve">日期：</w:t>
      </w:r>
      <w:r/>
    </w:p>
    <w:p>
      <w:pPr>
        <w:pStyle w:val="980"/>
        <w:spacing w:line="360" w:lineRule="auto"/>
        <w:rPr>
          <w:rFonts w:hAnsi="宋体" w:eastAsia="宋体"/>
          <w:b/>
          <w:bCs/>
          <w:color w:val="auto"/>
          <w:szCs w:val="21"/>
          <w:highlight w:val="none"/>
        </w:rPr>
      </w:pPr>
      <w:r>
        <w:rPr>
          <w:rFonts w:hint="eastAsia" w:hAnsi="宋体" w:eastAsia="宋体"/>
          <w:b/>
          <w:color w:val="auto"/>
          <w:sz w:val="21"/>
          <w:szCs w:val="21"/>
          <w:highlight w:val="none"/>
        </w:rPr>
        <w:br w:type="page" w:clear="all"/>
      </w:r>
      <w:r>
        <w:rPr>
          <w:rFonts w:hint="eastAsia" w:hAnsi="宋体" w:eastAsia="宋体"/>
          <w:b/>
          <w:color w:val="auto"/>
          <w:sz w:val="21"/>
          <w:szCs w:val="21"/>
          <w:highlight w:val="none"/>
        </w:rPr>
        <w:t xml:space="preserve">格式4、服务要求偏离表</w:t>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服务要求偏离表</w:t>
      </w:r>
      <w:r/>
    </w:p>
    <w:p>
      <w:pPr>
        <w:ind w:firstLine="630"/>
        <w:spacing w:line="380" w:lineRule="exact"/>
        <w:rPr>
          <w:rFonts w:ascii="宋体" w:hAnsi="宋体"/>
          <w:b/>
          <w:color w:val="auto"/>
          <w:spacing w:val="20"/>
          <w:szCs w:val="21"/>
          <w:highlight w:val="none"/>
        </w:rPr>
      </w:pP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               采购编号</w:t>
      </w:r>
      <w:r>
        <w:rPr>
          <w:rFonts w:hint="eastAsia" w:ascii="宋体" w:hAnsi="宋体" w:cs="宋体"/>
          <w:color w:val="auto"/>
          <w:szCs w:val="21"/>
          <w:highlight w:val="none"/>
          <w:lang w:val="zh-CN"/>
        </w:rPr>
        <w:t xml:space="preserve">∶</w:t>
      </w:r>
      <w:r/>
    </w:p>
    <w:tbl>
      <w:tblPr>
        <w:tblStyle w:val="962"/>
        <w:tblW w:w="87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1683" w:type="dxa"/>
            <w:vAlign w:val="center"/>
            <w:textDirection w:val="lrTb"/>
            <w:noWrap w:val="false"/>
          </w:tcPr>
          <w:p>
            <w:pPr>
              <w:pStyle w:val="963"/>
              <w:ind w:left="54"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051" w:type="dxa"/>
            <w:vAlign w:val="center"/>
            <w:textDirection w:val="lrTb"/>
            <w:noWrap w:val="false"/>
          </w:tcPr>
          <w:p>
            <w:pPr>
              <w:pStyle w:val="96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w:t>
            </w:r>
            <w:r>
              <w:rPr>
                <w:rFonts w:ascii="宋体" w:hAnsi="宋体" w:eastAsia="宋体"/>
                <w:color w:val="auto"/>
                <w:sz w:val="21"/>
                <w:szCs w:val="21"/>
                <w:highlight w:val="none"/>
              </w:rPr>
              <w:t xml:space="preserve">要求</w:t>
            </w:r>
            <w:r/>
          </w:p>
        </w:tc>
        <w:tc>
          <w:tcPr>
            <w:tcW w:w="2052" w:type="dxa"/>
            <w:vAlign w:val="center"/>
            <w:textDirection w:val="lrTb"/>
            <w:noWrap w:val="false"/>
          </w:tcPr>
          <w:p>
            <w:pPr>
              <w:pStyle w:val="96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2052" w:type="dxa"/>
            <w:vAlign w:val="center"/>
            <w:textDirection w:val="lrTb"/>
            <w:noWrap w:val="false"/>
          </w:tcPr>
          <w:p>
            <w:pPr>
              <w:pStyle w:val="963"/>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683" w:type="dxa"/>
            <w:textDirection w:val="lrTb"/>
            <w:noWrap w:val="false"/>
          </w:tcPr>
          <w:p>
            <w:pPr>
              <w:pStyle w:val="96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96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6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6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683" w:type="dxa"/>
            <w:textDirection w:val="lrTb"/>
            <w:noWrap w:val="false"/>
          </w:tcPr>
          <w:p>
            <w:pPr>
              <w:pStyle w:val="96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96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6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6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W w:w="1683" w:type="dxa"/>
            <w:textDirection w:val="lrTb"/>
            <w:noWrap w:val="false"/>
          </w:tcPr>
          <w:p>
            <w:pPr>
              <w:pStyle w:val="96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96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6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6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firstLine="630"/>
        <w:jc w:val="left"/>
        <w:spacing w:line="400" w:lineRule="exact"/>
        <w:rPr>
          <w:rFonts w:ascii="宋体" w:hAnsi="宋体"/>
          <w:color w:val="auto"/>
          <w:szCs w:val="21"/>
          <w:highlight w:val="none"/>
        </w:rPr>
      </w:pPr>
      <w:r>
        <w:rPr>
          <w:rFonts w:hint="eastAsia" w:ascii="宋体" w:hAnsi="宋体"/>
          <w:color w:val="auto"/>
          <w:szCs w:val="21"/>
          <w:highlight w:val="none"/>
        </w:rPr>
        <w:t xml:space="preserve">供应商：（公章）</w:t>
      </w:r>
      <w:r/>
    </w:p>
    <w:p>
      <w:pPr>
        <w:ind w:firstLine="630"/>
        <w:jc w:val="left"/>
        <w:spacing w:line="400" w:lineRule="exact"/>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rPr>
          <w:rFonts w:hint="eastAsia" w:ascii="宋体" w:hAnsi="宋体"/>
          <w:bCs/>
          <w:color w:val="auto"/>
          <w:szCs w:val="21"/>
          <w:highlight w:val="none"/>
        </w:rPr>
        <w:t xml:space="preserve">：</w:t>
      </w:r>
      <w:r/>
    </w:p>
    <w:p>
      <w:pPr>
        <w:ind w:firstLine="630"/>
        <w:spacing w:line="400" w:lineRule="exact"/>
        <w:rPr>
          <w:rFonts w:ascii="宋体" w:hAnsi="宋体"/>
          <w:bCs/>
          <w:color w:val="auto"/>
          <w:szCs w:val="21"/>
          <w:highlight w:val="none"/>
        </w:rPr>
      </w:pPr>
      <w:r>
        <w:rPr>
          <w:rFonts w:hint="eastAsia" w:ascii="宋体" w:hAnsi="宋体"/>
          <w:bCs/>
          <w:color w:val="auto"/>
          <w:szCs w:val="21"/>
          <w:highlight w:val="none"/>
        </w:rPr>
        <w:t xml:space="preserve">日期</w:t>
      </w:r>
      <w:r>
        <w:rPr>
          <w:rFonts w:ascii="宋体" w:hAnsi="宋体"/>
          <w:bCs/>
          <w:color w:val="auto"/>
          <w:szCs w:val="21"/>
          <w:highlight w:val="none"/>
        </w:rPr>
        <w:t xml:space="preserve">:</w:t>
      </w:r>
      <w:r/>
    </w:p>
    <w:p>
      <w:pPr>
        <w:spacing w:line="360" w:lineRule="auto"/>
        <w:rPr>
          <w:rFonts w:hAnsi="宋体"/>
          <w:b/>
          <w:color w:val="auto"/>
          <w:szCs w:val="21"/>
          <w:highlight w:val="none"/>
        </w:rPr>
      </w:pPr>
      <w:r>
        <w:rPr>
          <w:rFonts w:hAnsi="宋体"/>
          <w:b/>
          <w:color w:val="auto"/>
          <w:szCs w:val="21"/>
          <w:highlight w:val="none"/>
        </w:rPr>
      </w:r>
      <w:r/>
    </w:p>
    <w:p>
      <w:pPr>
        <w:spacing w:line="360" w:lineRule="auto"/>
        <w:rPr>
          <w:rFonts w:hAnsi="宋体"/>
          <w:b/>
          <w:color w:val="auto"/>
          <w:szCs w:val="21"/>
          <w:highlight w:val="none"/>
        </w:rPr>
      </w:pPr>
      <w:r>
        <w:rPr>
          <w:rFonts w:hAnsi="宋体"/>
          <w:b/>
          <w:color w:val="auto"/>
          <w:szCs w:val="21"/>
          <w:highlight w:val="none"/>
        </w:rPr>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格式5、商务条款偏离表</w:t>
      </w:r>
      <w:r/>
    </w:p>
    <w:p>
      <w:pPr>
        <w:ind w:firstLine="630"/>
        <w:spacing w:line="400" w:lineRule="exact"/>
        <w:rPr>
          <w:rFonts w:ascii="宋体" w:hAnsi="宋体" w:cs="宋体"/>
          <w:bCs/>
          <w:color w:val="auto"/>
          <w:szCs w:val="21"/>
          <w:highlight w:val="none"/>
        </w:rPr>
      </w:pPr>
      <w:r>
        <w:rPr>
          <w:rFonts w:ascii="宋体" w:hAnsi="宋体" w:cs="宋体"/>
          <w:bCs/>
          <w:color w:val="auto"/>
          <w:szCs w:val="21"/>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商务条款偏离表</w:t>
      </w:r>
      <w:r/>
    </w:p>
    <w:p>
      <w:pPr>
        <w:ind w:firstLine="630"/>
        <w:spacing w:line="380" w:lineRule="exact"/>
        <w:rPr>
          <w:rFonts w:ascii="宋体" w:hAnsi="宋体" w:cs="宋体"/>
          <w:b/>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采购编号∶</w:t>
      </w:r>
      <w:r/>
    </w:p>
    <w:tbl>
      <w:tblPr>
        <w:tblStyle w:val="962"/>
        <w:tblW w:w="9057" w:type="dxa"/>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jc w:val="center"/>
          <w:trHeight w:val="39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color w:val="auto"/>
                <w:szCs w:val="21"/>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63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供应商：（公章）</w:t>
      </w:r>
      <w:r/>
    </w:p>
    <w:p>
      <w:pPr>
        <w:ind w:firstLine="63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rPr>
          <w:rFonts w:hint="eastAsia" w:ascii="宋体" w:hAnsi="宋体" w:cs="宋体"/>
          <w:bCs/>
          <w:color w:val="auto"/>
          <w:szCs w:val="21"/>
          <w:highlight w:val="none"/>
        </w:rPr>
        <w:t xml:space="preserve">：</w:t>
      </w:r>
      <w:r/>
    </w:p>
    <w:p>
      <w:pPr>
        <w:ind w:firstLine="63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1.响应单位提交的投标文件中与采购文件的技术、商务部分的要求有不同时，应在本表中把采购文件要求与投标实际响应内容逐项对应列出。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2.若事项较多，响应单位可根据投标内容的实际情况另纸说明。</w:t>
      </w:r>
      <w:r/>
    </w:p>
    <w:p>
      <w:pPr>
        <w:pStyle w:val="963"/>
        <w:ind w:firstLine="0"/>
        <w:spacing w:line="400" w:lineRule="exact"/>
        <w:rPr>
          <w:rFonts w:ascii="宋体" w:hAnsi="宋体"/>
          <w:b/>
          <w:color w:val="auto"/>
          <w:sz w:val="21"/>
          <w:szCs w:val="21"/>
          <w:highlight w:val="none"/>
        </w:rPr>
      </w:pPr>
      <w:r>
        <w:rPr>
          <w:rFonts w:ascii="宋体" w:hAnsi="宋体"/>
          <w:b/>
          <w:color w:val="auto"/>
          <w:spacing w:val="20"/>
          <w:szCs w:val="21"/>
          <w:highlight w:val="none"/>
        </w:rPr>
        <w:br w:type="page" w:clear="all"/>
      </w:r>
      <w:r>
        <w:rPr>
          <w:rFonts w:hint="eastAsia" w:ascii="宋体" w:hAnsi="宋体" w:eastAsia="宋体"/>
          <w:b/>
          <w:color w:val="auto"/>
          <w:sz w:val="21"/>
          <w:szCs w:val="21"/>
          <w:highlight w:val="none"/>
        </w:rPr>
        <w:t xml:space="preserve">格式6、配备人员一览表</w:t>
      </w:r>
      <w:r/>
    </w:p>
    <w:p>
      <w:pPr>
        <w:jc w:val="center"/>
        <w:spacing w:line="360" w:lineRule="auto"/>
        <w:rPr>
          <w:rFonts w:ascii="宋体" w:hAnsi="Courier New"/>
          <w:color w:val="auto"/>
          <w:sz w:val="24"/>
          <w:highlight w:val="none"/>
        </w:rPr>
      </w:pPr>
      <w:r>
        <w:rPr>
          <w:rFonts w:hint="eastAsia" w:ascii="宋体" w:hAnsi="Courier New"/>
          <w:b/>
          <w:color w:val="auto"/>
          <w:szCs w:val="21"/>
          <w:highlight w:val="none"/>
        </w:rPr>
        <w:t xml:space="preserve">配备人员一览表</w:t>
      </w:r>
      <w:r/>
    </w:p>
    <w:tbl>
      <w:tblPr>
        <w:tblStyle w:val="962"/>
        <w:tblW w:w="98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018"/>
        <w:gridCol w:w="886"/>
        <w:gridCol w:w="815"/>
        <w:gridCol w:w="839"/>
        <w:gridCol w:w="780"/>
        <w:gridCol w:w="966"/>
        <w:gridCol w:w="883"/>
        <w:gridCol w:w="1183"/>
        <w:gridCol w:w="704"/>
      </w:tblGrid>
      <w:tr>
        <w:trPr>
          <w:jc w:val="center"/>
          <w:trHeight w:val="256"/>
        </w:trPr>
        <w:tc>
          <w:tcPr>
            <w:tcW w:w="817"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W w:w="967"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岗位</w:t>
            </w:r>
            <w:r/>
          </w:p>
        </w:tc>
        <w:tc>
          <w:tcPr>
            <w:tcW w:w="1018"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姓名</w:t>
            </w:r>
            <w:r/>
          </w:p>
        </w:tc>
        <w:tc>
          <w:tcPr>
            <w:tcW w:w="886"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性别</w:t>
            </w:r>
            <w:r/>
          </w:p>
        </w:tc>
        <w:tc>
          <w:tcPr>
            <w:tcW w:w="815"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年龄</w:t>
            </w:r>
            <w:r/>
          </w:p>
        </w:tc>
        <w:tc>
          <w:tcPr>
            <w:tcW w:w="839"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学历</w:t>
            </w:r>
            <w:r/>
          </w:p>
        </w:tc>
        <w:tc>
          <w:tcPr>
            <w:tcW w:w="780" w:type="dxa"/>
            <w:vAlign w:val="center"/>
            <w:vMerge w:val="restart"/>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专业</w:t>
            </w:r>
            <w:r/>
          </w:p>
        </w:tc>
        <w:tc>
          <w:tcPr>
            <w:tcW w:w="966"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职称</w:t>
            </w:r>
            <w:r/>
          </w:p>
        </w:tc>
        <w:tc>
          <w:tcPr>
            <w:gridSpan w:val="2"/>
            <w:tcW w:w="2066"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从事工作</w:t>
            </w:r>
            <w:r/>
          </w:p>
        </w:tc>
        <w:tc>
          <w:tcPr>
            <w:tcW w:w="704" w:type="dxa"/>
            <w:vMerge w:val="restart"/>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130"/>
        </w:trPr>
        <w:tc>
          <w:tcPr>
            <w:tcW w:w="817"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年限</w:t>
            </w:r>
            <w:r/>
          </w:p>
        </w:tc>
        <w:tc>
          <w:tcPr>
            <w:tcW w:w="1183"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工作领域</w:t>
            </w:r>
            <w:r/>
          </w:p>
        </w:tc>
        <w:tc>
          <w:tcPr>
            <w:tcW w:w="704" w:type="dxa"/>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0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0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0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0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0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0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供应商：（公章）</w:t>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法定代表人或代理人：（签字或盖章）</w:t>
      </w:r>
      <w:r/>
    </w:p>
    <w:p>
      <w:pPr>
        <w:ind w:firstLine="525"/>
        <w:spacing w:line="360" w:lineRule="exact"/>
        <w:rPr>
          <w:rFonts w:ascii="宋体" w:hAnsi="Courier New"/>
          <w:color w:val="auto"/>
          <w:sz w:val="24"/>
          <w:highlight w:val="none"/>
        </w:rPr>
      </w:pPr>
      <w:r>
        <w:rPr>
          <w:rFonts w:hint="eastAsia" w:ascii="宋体" w:hAnsi="Courier New"/>
          <w:color w:val="auto"/>
          <w:szCs w:val="21"/>
          <w:highlight w:val="none"/>
        </w:rPr>
        <w:t xml:space="preserve">日期：</w:t>
      </w:r>
      <w:r/>
    </w:p>
    <w:p>
      <w:pPr>
        <w:jc w:val="left"/>
        <w:spacing w:line="400" w:lineRule="exact"/>
        <w:rPr>
          <w:rFonts w:ascii="宋体" w:hAnsi="宋体"/>
          <w:b/>
          <w:color w:val="auto"/>
          <w:szCs w:val="21"/>
          <w:highlight w:val="none"/>
        </w:rPr>
      </w:pPr>
      <w:r>
        <w:rPr>
          <w:rFonts w:ascii="宋体" w:hAnsi="宋体"/>
          <w:b/>
          <w:color w:val="auto"/>
          <w:szCs w:val="21"/>
          <w:highlight w:val="none"/>
        </w:rPr>
      </w:r>
      <w:r/>
    </w:p>
    <w:p>
      <w:pPr>
        <w:jc w:val="left"/>
        <w:spacing w:line="400" w:lineRule="exact"/>
        <w:rPr>
          <w:rFonts w:ascii="宋体" w:hAnsi="宋体"/>
          <w:b/>
          <w:color w:val="auto"/>
          <w:szCs w:val="21"/>
          <w:highlight w:val="none"/>
        </w:rPr>
      </w:pPr>
      <w:r>
        <w:rPr>
          <w:rFonts w:ascii="宋体" w:hAnsi="宋体"/>
          <w:b/>
          <w:color w:val="auto"/>
          <w:szCs w:val="21"/>
          <w:highlight w:val="none"/>
        </w:rPr>
      </w:r>
      <w:r/>
    </w:p>
    <w:p>
      <w:pPr>
        <w:pStyle w:val="963"/>
        <w:ind w:firstLine="0"/>
        <w:spacing w:line="40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格式7、资格证明文件</w:t>
      </w:r>
      <w:r/>
    </w:p>
    <w:p>
      <w:pPr>
        <w:pStyle w:val="963"/>
        <w:ind w:firstLine="0"/>
        <w:jc w:val="both"/>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 资格文件的声明函</w:t>
      </w:r>
      <w:r/>
    </w:p>
    <w:p>
      <w:pPr>
        <w:pStyle w:val="963"/>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pStyle w:val="963"/>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资格文件的声明函</w:t>
      </w:r>
      <w:r/>
    </w:p>
    <w:p>
      <w:pPr>
        <w:pStyle w:val="963"/>
        <w:ind w:left="0"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 xml:space="preserve">：</w:t>
      </w:r>
      <w:r/>
    </w:p>
    <w:p>
      <w:pPr>
        <w:pStyle w:val="963"/>
        <w:ind w:firstLine="66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96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6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p>
    <w:p>
      <w:pPr>
        <w:pStyle w:val="963"/>
        <w:ind w:left="1700" w:firstLine="425"/>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供应商（公章）：</w:t>
      </w:r>
      <w:r/>
    </w:p>
    <w:p>
      <w:pPr>
        <w:pStyle w:val="963"/>
        <w:ind w:left="1700" w:firstLine="42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法定代表人（签字或盖章）：</w:t>
      </w:r>
      <w:r/>
    </w:p>
    <w:p>
      <w:pPr>
        <w:pStyle w:val="96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年</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月</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963"/>
        <w:ind w:firstLine="0"/>
        <w:jc w:val="both"/>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963"/>
        <w:ind w:firstLine="0"/>
        <w:jc w:val="both"/>
        <w:rPr>
          <w:rFonts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rPr>
          <w:rFonts w:hint="eastAsia" w:ascii="宋体" w:hAnsi="宋体" w:eastAsia="宋体"/>
          <w:b/>
          <w:color w:val="auto"/>
          <w:sz w:val="21"/>
          <w:szCs w:val="21"/>
          <w:highlight w:val="none"/>
        </w:rPr>
        <w:t xml:space="preserve">(2)供应商情况表</w:t>
      </w:r>
      <w:r/>
    </w:p>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供应商情况表</w:t>
      </w:r>
      <w:r/>
    </w:p>
    <w:p>
      <w:pPr>
        <w:pStyle w:val="963"/>
        <w:jc w:val="both"/>
        <w:rPr>
          <w:rFonts w:ascii="宋体" w:hAnsi="宋体" w:eastAsia="宋体"/>
          <w:color w:val="auto"/>
          <w:sz w:val="21"/>
          <w:szCs w:val="21"/>
          <w:highlight w:val="none"/>
        </w:rPr>
      </w:pPr>
      <w:r>
        <w:rPr>
          <w:rFonts w:ascii="宋体" w:hAnsi="宋体" w:eastAsia="宋体"/>
          <w:color w:val="auto"/>
          <w:sz w:val="21"/>
          <w:szCs w:val="21"/>
          <w:highlight w:val="none"/>
        </w:rPr>
      </w:r>
      <w:r/>
    </w:p>
    <w:p>
      <w:pPr>
        <w:pStyle w:val="963"/>
        <w:jc w:val="both"/>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单位名称（盖章）</w:t>
      </w:r>
      <w:r/>
    </w:p>
    <w:tbl>
      <w:tblPr>
        <w:tblStyle w:val="962"/>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446"/>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410"/>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textDirection w:val="lrTb"/>
            <w:noWrap w:val="false"/>
          </w:tcPr>
          <w:p>
            <w:pPr>
              <w:pStyle w:val="963"/>
              <w:ind w:firstLine="216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402"/>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422"/>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bottom"/>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bottom"/>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570"/>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bottom"/>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bottom"/>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年万元</w:t>
            </w:r>
            <w:r/>
          </w:p>
        </w:tc>
      </w:tr>
      <w:tr>
        <w:trPr>
          <w:cantSplit/>
          <w:jc w:val="center"/>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bottom"/>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年万元</w:t>
            </w:r>
            <w:r/>
          </w:p>
        </w:tc>
        <w:tc>
          <w:tcPr>
            <w:tcW w:w="1559" w:type="dxa"/>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2694" w:type="dxa"/>
            <w:vAlign w:val="bottom"/>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平方米</w:t>
            </w:r>
            <w:r/>
          </w:p>
        </w:tc>
      </w:tr>
      <w:tr>
        <w:trPr>
          <w:cantSplit/>
          <w:jc w:val="center"/>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488"/>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1"/>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1"/>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748"/>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1164"/>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560"/>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560"/>
        </w:trPr>
        <w:tc>
          <w:tcPr>
            <w:tcW w:w="2552" w:type="dxa"/>
            <w:vAlign w:val="center"/>
            <w:textDirection w:val="lrTb"/>
            <w:noWrap w:val="false"/>
          </w:tcPr>
          <w:p>
            <w:pPr>
              <w:pStyle w:val="96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数字人民币账户信息</w:t>
            </w:r>
            <w:r/>
          </w:p>
        </w:tc>
        <w:tc>
          <w:tcPr>
            <w:gridSpan w:val="3"/>
            <w:tcW w:w="6521" w:type="dxa"/>
            <w:textDirection w:val="lrTb"/>
            <w:noWrap w:val="false"/>
          </w:tcPr>
          <w:p>
            <w:pPr>
              <w:pStyle w:val="96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spacing w:before="100" w:beforeAutospacing="1" w:after="100" w:afterAutospacing="1" w:line="360" w:lineRule="auto"/>
        <w:rPr>
          <w:rFonts w:ascii="宋体" w:hAnsi="宋体"/>
          <w:color w:val="auto"/>
          <w:highlight w:val="none"/>
        </w:rPr>
      </w:pPr>
      <w:r>
        <w:rPr>
          <w:rFonts w:ascii="宋体" w:hAnsi="宋体"/>
          <w:color w:val="auto"/>
          <w:highlight w:val="none"/>
        </w:rPr>
      </w:r>
      <w:r/>
    </w:p>
    <w:p>
      <w:pPr>
        <w:rPr>
          <w:rFonts w:ascii="宋体" w:hAnsi="宋体"/>
          <w:b/>
          <w:color w:val="auto"/>
          <w:szCs w:val="21"/>
          <w:highlight w:val="none"/>
        </w:rPr>
      </w:pPr>
      <w:r>
        <w:rPr>
          <w:rFonts w:ascii="宋体" w:hAnsi="宋体"/>
          <w:color w:val="auto"/>
          <w:highlight w:val="none"/>
        </w:rPr>
        <w:br w:type="page" w:clear="all"/>
      </w:r>
      <w:r>
        <w:rPr>
          <w:rFonts w:hint="eastAsia" w:ascii="宋体" w:hAnsi="宋体"/>
          <w:b/>
          <w:color w:val="auto"/>
          <w:szCs w:val="21"/>
          <w:highlight w:val="none"/>
        </w:rPr>
        <w:t xml:space="preserve">（3）中小企业声明函</w:t>
      </w:r>
      <w:r/>
    </w:p>
    <w:p>
      <w:pPr>
        <w:jc w:val="center"/>
        <w:spacing w:before="100" w:beforeAutospacing="1" w:after="100" w:afterAutospacing="1" w:line="360" w:lineRule="auto"/>
        <w:rPr>
          <w:b/>
          <w:color w:val="auto"/>
          <w:highlight w:val="none"/>
        </w:rPr>
      </w:pPr>
      <w:r>
        <w:rPr>
          <w:rFonts w:hint="eastAsia"/>
          <w:b/>
          <w:color w:val="auto"/>
          <w:highlight w:val="none"/>
        </w:rPr>
        <w:t xml:space="preserve">中小企业声明函</w:t>
      </w:r>
      <w:r/>
    </w:p>
    <w:p>
      <w:pPr>
        <w:ind w:firstLine="420"/>
        <w:spacing w:line="480" w:lineRule="auto"/>
        <w:rPr>
          <w:rFonts w:ascii="宋体" w:hAnsi="宋体" w:cs="宋体"/>
          <w:bCs/>
          <w:color w:val="auto"/>
          <w:highlight w:val="none"/>
        </w:rPr>
      </w:pPr>
      <w:r>
        <w:rPr>
          <w:rFonts w:hint="eastAsia" w:ascii="宋体" w:hAnsi="宋体" w:cs="宋体"/>
          <w:bCs/>
          <w:color w:val="auto"/>
          <w:highlight w:val="none"/>
        </w:rPr>
        <w:t xml:space="preserve">本公司郑重声明，根据《政府采购促进中小企业发展管理办法》（财库﹝2020﹞46号）的规定，本公司参加</w:t>
      </w:r>
      <w:r>
        <w:rPr>
          <w:rFonts w:hint="eastAsia" w:ascii="宋体" w:hAnsi="宋体" w:cs="宋体"/>
          <w:bCs/>
          <w:color w:val="auto"/>
          <w:highlight w:val="none"/>
          <w:u w:val="single"/>
        </w:rPr>
        <w:t xml:space="preserve">（单位名称）</w:t>
      </w:r>
      <w:r>
        <w:rPr>
          <w:rFonts w:hint="eastAsia" w:ascii="宋体" w:hAnsi="宋体" w:cs="宋体"/>
          <w:bCs/>
          <w:color w:val="auto"/>
          <w:highlight w:val="none"/>
        </w:rPr>
        <w:t xml:space="preserve">的</w:t>
      </w:r>
      <w:r>
        <w:rPr>
          <w:rFonts w:hint="eastAsia" w:ascii="宋体" w:hAnsi="宋体" w:cs="宋体"/>
          <w:bCs/>
          <w:color w:val="auto"/>
          <w:highlight w:val="none"/>
          <w:u w:val="single"/>
        </w:rPr>
        <w:t xml:space="preserve">（项目名称）</w:t>
      </w:r>
      <w:r>
        <w:rPr>
          <w:rFonts w:hint="eastAsia" w:ascii="宋体" w:hAnsi="宋体" w:cs="宋体"/>
          <w:bCs/>
          <w:color w:val="auto"/>
          <w:highlight w:val="none"/>
        </w:rPr>
        <w:t xml:space="preserve">采购活动，服务全部由符合政策要求的中小企业承接。企业的具体情况如下： </w:t>
      </w:r>
      <w:r/>
    </w:p>
    <w:p>
      <w:pPr>
        <w:ind w:firstLine="420"/>
        <w:spacing w:line="480" w:lineRule="auto"/>
        <w:rPr>
          <w:bCs/>
          <w:color w:val="auto"/>
          <w:highlight w:val="none"/>
        </w:rPr>
      </w:pPr>
      <w:r>
        <w:rPr>
          <w:rFonts w:hint="eastAsia"/>
          <w:bCs/>
          <w:color w:val="auto"/>
          <w:highlight w:val="none"/>
          <w:u w:val="single"/>
        </w:rPr>
        <w:t xml:space="preserve">（标的名称）</w:t>
      </w:r>
      <w:r>
        <w:rPr>
          <w:rFonts w:hint="eastAsia"/>
          <w:bCs/>
          <w:color w:val="auto"/>
          <w:highlight w:val="none"/>
        </w:rPr>
        <w:t xml:space="preserve">，属于</w:t>
      </w:r>
      <w:r>
        <w:rPr>
          <w:rFonts w:hint="eastAsia"/>
          <w:bCs/>
          <w:color w:val="auto"/>
          <w:highlight w:val="none"/>
          <w:u w:val="single"/>
        </w:rPr>
        <w:t xml:space="preserve">其他未列明行业</w:t>
      </w:r>
      <w:r>
        <w:rPr>
          <w:rFonts w:hint="eastAsia"/>
          <w:bCs/>
          <w:color w:val="auto"/>
          <w:highlight w:val="none"/>
        </w:rPr>
        <w:t xml:space="preserve">；承接企业为</w:t>
      </w:r>
      <w:r>
        <w:rPr>
          <w:rFonts w:hint="eastAsia"/>
          <w:bCs/>
          <w:color w:val="auto"/>
          <w:highlight w:val="none"/>
          <w:u w:val="single"/>
        </w:rPr>
        <w:t xml:space="preserve">（企业名称）</w:t>
      </w:r>
      <w:r>
        <w:rPr>
          <w:rFonts w:hint="eastAsia"/>
          <w:bCs/>
          <w:color w:val="auto"/>
          <w:highlight w:val="none"/>
        </w:rPr>
        <w:t xml:space="preserve">，从业人员人，营业收入为万元，资产总额为万元，属于</w:t>
      </w:r>
      <w:r>
        <w:rPr>
          <w:rFonts w:hint="eastAsia"/>
          <w:bCs/>
          <w:color w:val="auto"/>
          <w:highlight w:val="none"/>
          <w:u w:val="single"/>
        </w:rPr>
        <w:t xml:space="preserve">（中型企业、小型企业、微型企业）（选择一类填写）</w:t>
      </w:r>
      <w:r>
        <w:rPr>
          <w:rFonts w:hint="eastAsia"/>
          <w:bCs/>
          <w:color w:val="auto"/>
          <w:highlight w:val="none"/>
        </w:rPr>
        <w:t xml:space="preserve">； </w:t>
      </w:r>
      <w:r/>
    </w:p>
    <w:p>
      <w:pPr>
        <w:ind w:firstLine="420"/>
        <w:spacing w:line="480" w:lineRule="auto"/>
        <w:rPr>
          <w:bCs/>
          <w:color w:val="auto"/>
          <w:highlight w:val="none"/>
        </w:rPr>
      </w:pPr>
      <w:r>
        <w:rPr>
          <w:rFonts w:hint="eastAsia"/>
          <w:bCs/>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bCs/>
          <w:color w:val="auto"/>
          <w:highlight w:val="none"/>
        </w:rPr>
      </w:pPr>
      <w:r>
        <w:rPr>
          <w:rFonts w:hint="eastAsia"/>
          <w:bCs/>
          <w:color w:val="auto"/>
          <w:highlight w:val="none"/>
        </w:rPr>
        <w:t xml:space="preserve">                                                          企业名称（盖章）： </w:t>
      </w:r>
      <w:r/>
    </w:p>
    <w:p>
      <w:pPr>
        <w:spacing w:line="480" w:lineRule="auto"/>
        <w:rPr>
          <w:bCs/>
          <w:color w:val="auto"/>
          <w:highlight w:val="none"/>
        </w:rPr>
      </w:pPr>
      <w:r>
        <w:rPr>
          <w:rFonts w:hint="eastAsia"/>
          <w:bCs/>
          <w:color w:val="auto"/>
          <w:highlight w:val="none"/>
        </w:rPr>
        <w:t xml:space="preserve">                                                            日 期：</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（4）残疾人福利性单位声明函</w:t>
      </w:r>
      <w:r/>
    </w:p>
    <w:p>
      <w:pPr>
        <w:jc w:val="center"/>
        <w:spacing w:line="480" w:lineRule="exact"/>
        <w:rPr>
          <w:rFonts w:ascii="宋体" w:hAnsi="宋体"/>
          <w:color w:val="auto"/>
          <w:spacing w:val="6"/>
          <w:sz w:val="44"/>
          <w:szCs w:val="32"/>
          <w:highlight w:val="none"/>
        </w:rPr>
      </w:pPr>
      <w:r>
        <w:rPr>
          <w:rFonts w:hint="eastAsia" w:ascii="宋体" w:hAnsi="宋体"/>
          <w:color w:val="auto"/>
          <w:szCs w:val="21"/>
          <w:highlight w:val="none"/>
          <w:lang w:val="zh-CN"/>
        </w:rPr>
        <w:t xml:space="preserve">残疾人福利性单位声明函</w:t>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firstLine="444"/>
        <w:spacing w:line="580" w:lineRule="exact"/>
        <w:rPr>
          <w:rFonts w:ascii="宋体" w:hAnsi="宋体"/>
          <w:color w:val="auto"/>
          <w:spacing w:val="6"/>
          <w:szCs w:val="21"/>
          <w:highlight w:val="none"/>
        </w:rPr>
      </w:pPr>
      <w:r>
        <w:rPr>
          <w:rFonts w:ascii="宋体" w:hAnsi="宋体"/>
          <w:color w:val="auto"/>
          <w:spacing w:val="6"/>
          <w:szCs w:val="21"/>
          <w:highlight w:val="none"/>
        </w:rPr>
      </w:r>
      <w:r/>
    </w:p>
    <w:p>
      <w:pPr>
        <w:ind w:right="1560" w:firstLine="444"/>
        <w:jc w:val="center"/>
        <w:spacing w:line="580" w:lineRule="exact"/>
        <w:tabs>
          <w:tab w:val="left" w:pos="4860" w:leader="none"/>
        </w:tabs>
        <w:rPr>
          <w:rFonts w:ascii="宋体" w:hAnsi="宋体"/>
          <w:color w:val="auto"/>
          <w:spacing w:val="6"/>
          <w:szCs w:val="21"/>
          <w:highlight w:val="none"/>
        </w:rPr>
      </w:pPr>
      <w:r>
        <w:rPr>
          <w:rFonts w:hint="eastAsia" w:ascii="宋体" w:hAnsi="宋体"/>
          <w:color w:val="auto"/>
          <w:spacing w:val="6"/>
          <w:szCs w:val="21"/>
          <w:highlight w:val="none"/>
        </w:rPr>
        <w:t xml:space="preserve">                单位名称（盖章）：</w:t>
      </w:r>
      <w:r/>
    </w:p>
    <w:p>
      <w:pPr>
        <w:spacing w:line="360" w:lineRule="auto"/>
        <w:rPr>
          <w:rFonts w:ascii="宋体" w:hAnsi="宋体"/>
          <w:color w:val="auto"/>
          <w:spacing w:val="6"/>
          <w:szCs w:val="21"/>
          <w:highlight w:val="none"/>
        </w:rPr>
      </w:pPr>
      <w:r>
        <w:rPr>
          <w:rFonts w:hint="eastAsia" w:ascii="宋体" w:hAnsi="宋体"/>
          <w:color w:val="auto"/>
          <w:spacing w:val="6"/>
          <w:szCs w:val="21"/>
          <w:highlight w:val="none"/>
        </w:rPr>
        <w:t xml:space="preserve">                                      日  期：</w:t>
      </w:r>
      <w:r/>
    </w:p>
    <w:p>
      <w:pPr>
        <w:spacing w:line="360" w:lineRule="auto"/>
        <w:rPr>
          <w:b/>
          <w:bCs/>
          <w:color w:val="auto"/>
          <w:szCs w:val="21"/>
          <w:highlight w:val="none"/>
        </w:rPr>
      </w:pPr>
      <w:r>
        <w:rPr>
          <w:rFonts w:ascii="宋体" w:hAnsi="宋体"/>
          <w:color w:val="auto"/>
          <w:spacing w:val="6"/>
          <w:szCs w:val="21"/>
          <w:highlight w:val="none"/>
        </w:rPr>
        <w:br w:type="page" w:clear="all"/>
      </w:r>
      <w:r>
        <w:rPr>
          <w:rFonts w:hint="eastAsia" w:ascii="宋体" w:hAnsi="宋体"/>
          <w:b/>
          <w:color w:val="auto"/>
          <w:spacing w:val="6"/>
          <w:szCs w:val="21"/>
          <w:highlight w:val="none"/>
        </w:rPr>
        <w:t xml:space="preserve">格式8、</w:t>
      </w:r>
      <w:r>
        <w:rPr>
          <w:rFonts w:hint="eastAsia"/>
          <w:b/>
          <w:bCs/>
          <w:color w:val="auto"/>
          <w:szCs w:val="21"/>
          <w:highlight w:val="none"/>
        </w:rPr>
        <w:t xml:space="preserve">投标（响应）保证承诺书</w:t>
      </w:r>
      <w:r/>
    </w:p>
    <w:p>
      <w:pPr>
        <w:jc w:val="center"/>
        <w:spacing w:line="400" w:lineRule="exact"/>
        <w:rPr>
          <w:b/>
          <w:color w:val="auto"/>
          <w:szCs w:val="21"/>
          <w:highlight w:val="none"/>
        </w:rPr>
      </w:pPr>
      <w:r>
        <w:rPr>
          <w:rFonts w:hint="eastAsia"/>
          <w:b/>
          <w:color w:val="auto"/>
          <w:szCs w:val="21"/>
          <w:highlight w:val="none"/>
        </w:rPr>
        <w:t xml:space="preserve">投标（响应）保证承诺书</w:t>
      </w:r>
      <w:r/>
    </w:p>
    <w:p>
      <w:pPr>
        <w:jc w:val="left"/>
        <w:spacing w:line="360" w:lineRule="auto"/>
        <w:widowControl/>
        <w:rPr>
          <w:rFonts w:cs="宋体"/>
          <w:color w:val="auto"/>
          <w:szCs w:val="21"/>
          <w:highlight w:val="none"/>
        </w:rPr>
      </w:pPr>
      <w:r>
        <w:rPr>
          <w:rFonts w:cs="宋体"/>
          <w:color w:val="auto"/>
          <w:szCs w:val="21"/>
          <w:highlight w:val="none"/>
        </w:rPr>
      </w:r>
      <w:r/>
    </w:p>
    <w:p>
      <w:pPr>
        <w:jc w:val="left"/>
        <w:spacing w:line="520" w:lineRule="exact"/>
        <w:widowControl/>
        <w:rPr>
          <w:rFonts w:cs="宋体"/>
          <w:color w:val="auto"/>
          <w:szCs w:val="21"/>
          <w:highlight w:val="none"/>
        </w:rPr>
      </w:pPr>
      <w:r>
        <w:rPr>
          <w:rFonts w:hint="eastAsia" w:cs="宋体"/>
          <w:color w:val="auto"/>
          <w:szCs w:val="21"/>
          <w:highlight w:val="none"/>
        </w:rPr>
        <w:t xml:space="preserve">致：</w:t>
      </w:r>
      <w:r>
        <w:rPr>
          <w:rFonts w:hint="eastAsia" w:cs="宋体"/>
          <w:color w:val="auto"/>
          <w:szCs w:val="21"/>
          <w:highlight w:val="none"/>
          <w:u w:val="single"/>
        </w:rPr>
        <w:t xml:space="preserve">         （采购代理机构名称）</w:t>
      </w:r>
      <w:r/>
    </w:p>
    <w:p>
      <w:pPr>
        <w:ind w:firstLine="420"/>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numPr>
          <w:ilvl w:val="0"/>
          <w:numId w:val="59"/>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numPr>
          <w:ilvl w:val="0"/>
          <w:numId w:val="60"/>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自投标（响应）截止时间至本项目发布中标（成交）公告为止，撤销投标（响应）；</w:t>
      </w:r>
      <w:r/>
    </w:p>
    <w:p>
      <w:pPr>
        <w:numPr>
          <w:ilvl w:val="0"/>
          <w:numId w:val="60"/>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中标（成交）后不依法与采购人签订合同；</w:t>
      </w:r>
      <w:r/>
    </w:p>
    <w:p>
      <w:pPr>
        <w:numPr>
          <w:ilvl w:val="0"/>
          <w:numId w:val="60"/>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中标（成交）后不按本采购文件规定向采购人提交履约保证金；</w:t>
      </w:r>
      <w:r/>
    </w:p>
    <w:p>
      <w:pPr>
        <w:numPr>
          <w:ilvl w:val="0"/>
          <w:numId w:val="60"/>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中标（成交）后不按本采购文件规定向贵方缴纳采购代理费。</w:t>
      </w:r>
      <w:r/>
    </w:p>
    <w:p>
      <w:pPr>
        <w:numPr>
          <w:ilvl w:val="0"/>
          <w:numId w:val="59"/>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投标（响应）人：（盖公章）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地址：</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电话：</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传真：</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电子邮件：</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邮编：</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法定代表人或委托代理人(签字或签章)：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日期：</w:t>
      </w:r>
      <w:r/>
    </w:p>
    <w:p>
      <w:pPr>
        <w:rPr>
          <w:rFonts w:ascii="宋体" w:hAnsi="宋体"/>
          <w:color w:val="auto"/>
          <w:sz w:val="24"/>
          <w:highlight w:val="none"/>
        </w:rPr>
      </w:pPr>
      <w:r>
        <w:rPr>
          <w:rFonts w:ascii="宋体" w:hAnsi="宋体"/>
          <w:color w:val="auto"/>
          <w:sz w:val="24"/>
          <w:highlight w:val="none"/>
        </w:rPr>
      </w:r>
      <w:r/>
    </w:p>
    <w:p>
      <w:pPr>
        <w:rPr>
          <w:b/>
          <w:bCs/>
          <w:color w:val="auto"/>
          <w:szCs w:val="21"/>
          <w:highlight w:val="none"/>
        </w:rPr>
      </w:pPr>
      <w:r>
        <w:rPr>
          <w:rFonts w:hint="eastAsia"/>
          <w:b/>
          <w:bCs/>
          <w:color w:val="auto"/>
          <w:szCs w:val="21"/>
          <w:highlight w:val="none"/>
        </w:rPr>
        <w:br w:type="page" w:clear="all"/>
      </w:r>
      <w:r/>
    </w:p>
    <w:p>
      <w:pPr>
        <w:spacing w:line="480" w:lineRule="exact"/>
        <w:rPr>
          <w:b/>
          <w:bCs/>
          <w:color w:val="auto"/>
          <w:szCs w:val="21"/>
          <w:highlight w:val="none"/>
        </w:rPr>
      </w:pPr>
      <w:r>
        <w:rPr>
          <w:rFonts w:hint="eastAsia" w:ascii="宋体" w:hAnsi="宋体"/>
          <w:b/>
          <w:color w:val="auto"/>
          <w:spacing w:val="6"/>
          <w:szCs w:val="21"/>
          <w:highlight w:val="none"/>
        </w:rPr>
        <w:t xml:space="preserve">格式9、</w:t>
      </w:r>
      <w:r>
        <w:rPr>
          <w:rFonts w:hint="eastAsia"/>
          <w:b/>
          <w:bCs/>
          <w:color w:val="auto"/>
          <w:szCs w:val="21"/>
          <w:highlight w:val="none"/>
        </w:rPr>
        <w:t xml:space="preserve">供应商与其他单位存在控股、管理关系情况表</w:t>
      </w:r>
      <w:r/>
    </w:p>
    <w:p>
      <w:pPr>
        <w:jc w:val="center"/>
        <w:rPr>
          <w:color w:val="auto"/>
          <w:highlight w:val="none"/>
        </w:rPr>
      </w:pPr>
      <w:r>
        <w:rPr>
          <w:color w:val="auto"/>
          <w:highlight w:val="none"/>
        </w:rPr>
      </w:r>
      <w:r/>
    </w:p>
    <w:p>
      <w:pPr>
        <w:jc w:val="center"/>
        <w:rPr>
          <w:rFonts w:ascii="宋体" w:hAnsi="宋体"/>
          <w:b/>
          <w:color w:val="auto"/>
          <w:szCs w:val="21"/>
          <w:highlight w:val="none"/>
        </w:rPr>
      </w:pPr>
      <w:r>
        <w:rPr>
          <w:rFonts w:hint="eastAsia" w:ascii="宋体" w:hAnsi="宋体"/>
          <w:b/>
          <w:color w:val="auto"/>
          <w:szCs w:val="21"/>
          <w:highlight w:val="none"/>
        </w:rPr>
        <w:t xml:space="preserve">供应商与其他单位存在控股、管理关系情况表</w:t>
      </w:r>
      <w:r/>
    </w:p>
    <w:p>
      <w:pPr>
        <w:jc w:val="center"/>
        <w:rPr>
          <w:rFonts w:ascii="宋体" w:hAnsi="宋体"/>
          <w:color w:val="auto"/>
          <w:szCs w:val="21"/>
          <w:highlight w:val="none"/>
        </w:rPr>
      </w:pPr>
      <w:r>
        <w:rPr>
          <w:rFonts w:ascii="宋体" w:hAnsi="宋体"/>
          <w:color w:val="auto"/>
          <w:szCs w:val="21"/>
          <w:highlight w:val="none"/>
        </w:rPr>
      </w:r>
      <w:r/>
    </w:p>
    <w:tbl>
      <w:tblPr>
        <w:tblStyle w:val="962"/>
        <w:tblW w:w="924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4"/>
        <w:gridCol w:w="4624"/>
      </w:tblGrid>
      <w:tr>
        <w:trPr>
          <w:jc w:val="center"/>
          <w:trHeight w:val="397"/>
        </w:trPr>
        <w:tc>
          <w:tcPr>
            <w:tcW w:w="462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与供应商存在控股、管理关系的单位名称</w:t>
            </w:r>
            <w:r/>
          </w:p>
        </w:tc>
        <w:tc>
          <w:tcPr>
            <w:tcW w:w="462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控股、管理关系情况说明</w:t>
            </w:r>
            <w:r/>
          </w:p>
        </w:tc>
      </w:tr>
      <w:tr>
        <w:trPr>
          <w:jc w:val="center"/>
          <w:trHeight w:val="397"/>
        </w:trPr>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97"/>
        </w:trPr>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97"/>
        </w:trPr>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97"/>
        </w:trPr>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97"/>
        </w:trPr>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Cs w:val="21"/>
          <w:highlight w:val="none"/>
        </w:rPr>
      </w:pPr>
      <w:r>
        <w:rPr>
          <w:rFonts w:hint="eastAsia" w:ascii="宋体" w:hAnsi="宋体"/>
          <w:color w:val="auto"/>
          <w:szCs w:val="21"/>
          <w:highlight w:val="none"/>
        </w:rPr>
        <w:t xml:space="preserve">注：磋商供应商须如实填写所有与之有控股、管理关系的情况。</w:t>
      </w:r>
      <w:r/>
    </w:p>
    <w:p>
      <w:pPr>
        <w:rPr>
          <w:rFonts w:ascii="宋体" w:hAnsi="宋体"/>
          <w:b/>
          <w:color w:val="auto"/>
          <w:szCs w:val="21"/>
          <w:highlight w:val="none"/>
        </w:rPr>
      </w:pPr>
      <w:r>
        <w:rPr>
          <w:rFonts w:ascii="宋体" w:hAnsi="宋体"/>
          <w:b/>
          <w:color w:val="auto"/>
          <w:szCs w:val="21"/>
          <w:highlight w:val="none"/>
        </w:rPr>
      </w:r>
      <w:r/>
    </w:p>
    <w:p>
      <w:pPr>
        <w:pStyle w:val="963"/>
        <w:ind w:firstLine="0"/>
        <w:spacing w:line="400" w:lineRule="exact"/>
        <w:rPr>
          <w:rFonts w:ascii="宋体" w:hAnsi="宋体" w:eastAsia="宋体" w:cs="宋体"/>
          <w:color w:val="auto"/>
          <w:sz w:val="21"/>
          <w:szCs w:val="21"/>
          <w:highlight w:val="none"/>
        </w:rPr>
      </w:pPr>
      <w:r>
        <w:rPr>
          <w:rFonts w:hint="eastAsia" w:hAnsi="宋体" w:eastAsia="宋体"/>
          <w:color w:val="auto"/>
          <w:sz w:val="21"/>
          <w:szCs w:val="21"/>
          <w:highlight w:val="none"/>
        </w:rPr>
        <w:t xml:space="preserve">供应商：（公章）</w:t>
      </w:r>
      <w:r/>
    </w:p>
    <w:p>
      <w:pPr>
        <w:pStyle w:val="963"/>
        <w:ind w:firstLine="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rPr>
          <w:rFonts w:hint="eastAsia" w:ascii="宋体" w:hAnsi="宋体" w:eastAsia="宋体" w:cs="宋体"/>
          <w:bCs/>
          <w:color w:val="auto"/>
          <w:sz w:val="21"/>
          <w:szCs w:val="21"/>
          <w:highlight w:val="none"/>
        </w:rPr>
        <w:t xml:space="preserve">：</w:t>
      </w:r>
      <w:r/>
    </w:p>
    <w:p>
      <w:pPr>
        <w:pStyle w:val="963"/>
        <w:ind w:firstLine="0"/>
        <w:spacing w:line="400" w:lineRule="exact"/>
        <w:rPr>
          <w:rFonts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日期:</w:t>
      </w:r>
      <w:r/>
    </w:p>
    <w:p>
      <w:pPr>
        <w:rPr>
          <w:rFonts w:ascii="宋体" w:hAnsi="宋体"/>
          <w:color w:val="auto"/>
          <w:sz w:val="24"/>
          <w:highlight w:val="none"/>
        </w:rPr>
      </w:pPr>
      <w:r>
        <w:rPr>
          <w:rFonts w:ascii="宋体" w:hAnsi="宋体"/>
          <w:color w:val="auto"/>
          <w:sz w:val="24"/>
          <w:highlight w:val="none"/>
        </w:rPr>
      </w:r>
      <w:r/>
    </w:p>
    <w:p>
      <w:pPr>
        <w:jc w:val="right"/>
        <w:rPr>
          <w:rFonts w:hint="eastAsia" w:ascii="宋体" w:hAnsi="宋体"/>
          <w:color w:val="auto"/>
          <w:sz w:val="24"/>
          <w:highlight w:val="none"/>
        </w:rPr>
      </w:pPr>
      <w:r>
        <w:rPr>
          <w:rFonts w:hint="eastAsia" w:ascii="宋体" w:hAnsi="宋体"/>
          <w:color w:val="auto"/>
          <w:sz w:val="24"/>
          <w:highlight w:val="none"/>
        </w:rPr>
      </w:r>
      <w:r/>
    </w:p>
    <w:p>
      <w:pPr>
        <w:jc w:val="right"/>
        <w:rPr>
          <w:rFonts w:ascii="宋体" w:hAnsi="宋体"/>
          <w:color w:val="auto"/>
          <w:sz w:val="24"/>
          <w:highlight w:val="none"/>
        </w:rPr>
      </w:pPr>
      <w:r>
        <w:rPr>
          <w:rFonts w:hint="eastAsia" w:ascii="宋体" w:hAnsi="宋体"/>
          <w:color w:val="auto"/>
          <w:sz w:val="24"/>
          <w:highlight w:val="none"/>
        </w:rPr>
        <w:t xml:space="preserve">（全文完）</w:t>
      </w:r>
      <w:bookmarkEnd w:id="7"/>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文鼎CS仿宋体">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18</w:t>
    </w:r>
    <w:r>
      <w:fldChar w:fldCharType="end"/>
    </w:r>
    <w:r/>
  </w:p>
  <w:p>
    <w:pPr>
      <w:pStyle w:val="9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0"/>
      </w:rPr>
      <w:framePr w:wrap="around" w:vAnchor="text" w:hAnchor="margin" w:xAlign="center" w:y="1"/>
    </w:pPr>
    <w:r>
      <w:fldChar w:fldCharType="begin"/>
    </w:r>
    <w:r>
      <w:rPr>
        <w:rStyle w:val="1010"/>
      </w:rPr>
      <w:instrText xml:space="preserve">PAGE  </w:instrText>
    </w:r>
    <w:r>
      <w:fldChar w:fldCharType="end"/>
    </w:r>
    <w:r/>
  </w:p>
  <w:p>
    <w:pPr>
      <w:pStyle w:val="9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rPr>
        <w:rFonts w:hint="default" w:ascii="宋体" w:hAnsi="宋体" w:eastAsia="宋体" w:cs="宋体"/>
        <w:szCs w:val="21"/>
        <w:lang w:val="en-US" w:eastAsia="zh-CN"/>
      </w:rPr>
    </w:pPr>
    <w:r>
      <w:rPr>
        <w:rFonts w:hint="eastAsia"/>
      </w:rPr>
      <w:t xml:space="preserve">苏州市原鑫招投标咨询服务有限公司                                               </w:t>
    </w:r>
    <w:r>
      <w:rPr>
        <w:rFonts w:hint="eastAsia"/>
        <w:lang w:val="en-US" w:eastAsia="zh-CN"/>
      </w:rPr>
      <w:t xml:space="preserve"> </w:t>
    </w:r>
    <w:r>
      <w:rPr>
        <w:rFonts w:hint="eastAsia"/>
      </w:rPr>
      <w:t xml:space="preserve">  </w:t>
    </w:r>
    <w:r>
      <w:rPr>
        <w:rFonts w:hint="eastAsia" w:ascii="宋体" w:hAnsi="宋体" w:eastAsia="宋体" w:cs="宋体"/>
      </w:rPr>
      <w:t xml:space="preserve"> </w:t>
    </w:r>
    <w:r>
      <w:rPr>
        <w:rFonts w:hint="eastAsia" w:ascii="宋体" w:hAnsi="宋体" w:cs="宋体"/>
        <w:lang w:eastAsia="zh-CN"/>
      </w:rPr>
      <w:t xml:space="preserve">JSZC-320508-SZYX-C2026-0020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tab"/>
      <w:lvlText w:val="(%1)"/>
      <w:lvlJc w:val="left"/>
      <w:pPr>
        <w:ind w:left="567" w:hanging="567"/>
        <w:tabs>
          <w:tab w:val="left" w:pos="567"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16">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1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1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1">
    <w:multiLevelType w:val="hybridMultilevel"/>
    <w:lvl w:ilvl="0">
      <w:start w:val="1"/>
      <w:numFmt w:val="chineseCountingThousand"/>
      <w:pStyle w:val="1130"/>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098"/>
      <w:isLgl w:val="false"/>
      <w:suff w:val="space"/>
      <w:lvlText w:val="%1"/>
      <w:lvlJc w:val="left"/>
      <w:pPr>
        <w:ind w:left="0" w:firstLine="0"/>
      </w:pPr>
      <w:rPr>
        <w:rFonts w:hint="eastAsia" w:ascii="宋体" w:hAnsi="宋体" w:eastAsia="宋体"/>
        <w:b/>
      </w:rPr>
    </w:lvl>
    <w:lvl w:ilvl="1">
      <w:start w:val="1"/>
      <w:numFmt w:val="decimal"/>
      <w:pStyle w:val="1045"/>
      <w:isLgl w:val="false"/>
      <w:suff w:val="space"/>
      <w:lvlText w:val="%1.%2"/>
      <w:lvlJc w:val="left"/>
      <w:pPr>
        <w:ind w:left="-84" w:firstLine="510"/>
      </w:pPr>
      <w:rPr>
        <w:rFonts w:hint="eastAsia" w:ascii="宋体" w:hAnsi="宋体" w:eastAsia="宋体"/>
      </w:rPr>
    </w:lvl>
    <w:lvl w:ilvl="2">
      <w:start w:val="1"/>
      <w:numFmt w:val="decimal"/>
      <w:pStyle w:val="1071"/>
      <w:isLgl w:val="false"/>
      <w:suff w:val="tab"/>
      <w:lvlText w:val="%1.%2.%3"/>
      <w:lvlJc w:val="left"/>
      <w:pPr>
        <w:ind w:left="0" w:firstLine="510"/>
      </w:pPr>
      <w:rPr>
        <w:rFonts w:hint="eastAsia"/>
      </w:rPr>
    </w:lvl>
    <w:lvl w:ilvl="3">
      <w:start w:val="1"/>
      <w:numFmt w:val="decimal"/>
      <w:pStyle w:val="1113"/>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6">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27">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2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
      <w:isLgl w:val="false"/>
      <w:suff w:val="tab"/>
      <w:lvlText w:val="(%1)"/>
      <w:lvlJc w:val="left"/>
      <w:pPr>
        <w:ind w:left="567" w:hanging="567"/>
        <w:tabs>
          <w:tab w:val="left" w:pos="567"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33">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36">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37">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38">
    <w:multiLevelType w:val="hybridMultilevel"/>
    <w:lvl w:ilvl="0">
      <w:start w:val="1"/>
      <w:numFmt w:val="chineseCountingThousand"/>
      <w:isLgl w:val="false"/>
      <w:suff w:val="tab"/>
      <w:lvlText w:val="(%1)"/>
      <w:lvlJc w:val="left"/>
      <w:pPr>
        <w:ind w:left="567" w:hanging="567"/>
        <w:tabs>
          <w:tab w:val="left" w:pos="0" w:leader="none"/>
        </w:tabs>
      </w:pPr>
      <w:rPr>
        <w:rFonts w:hint="eastAsia"/>
      </w:rPr>
    </w:lvl>
    <w:lvl w:ilvl="1">
      <w:start w:val="1"/>
      <w:numFmt w:val="lowerLetter"/>
      <w:isLgl w:val="false"/>
      <w:suff w:val="tab"/>
      <w:lvlText w:val="%2)"/>
      <w:lvlJc w:val="left"/>
      <w:pPr>
        <w:ind w:left="1193" w:hanging="420"/>
        <w:tabs>
          <w:tab w:val="left" w:pos="0" w:leader="none"/>
        </w:tabs>
      </w:pPr>
      <w:rPr>
        <w:rFonts w:hint="eastAsia"/>
      </w:rPr>
    </w:lvl>
    <w:lvl w:ilvl="2">
      <w:start w:val="1"/>
      <w:numFmt w:val="lowerRoman"/>
      <w:isLgl w:val="false"/>
      <w:suff w:val="tab"/>
      <w:lvlText w:val="%3."/>
      <w:lvlJc w:val="right"/>
      <w:pPr>
        <w:ind w:left="1613" w:hanging="420"/>
        <w:tabs>
          <w:tab w:val="left" w:pos="0" w:leader="none"/>
        </w:tabs>
      </w:pPr>
      <w:rPr>
        <w:rFonts w:hint="eastAsia"/>
      </w:rPr>
    </w:lvl>
    <w:lvl w:ilvl="3">
      <w:start w:val="1"/>
      <w:numFmt w:val="decimal"/>
      <w:isLgl w:val="false"/>
      <w:suff w:val="tab"/>
      <w:lvlText w:val="%4."/>
      <w:lvlJc w:val="left"/>
      <w:pPr>
        <w:ind w:left="2033" w:hanging="420"/>
        <w:tabs>
          <w:tab w:val="left" w:pos="0" w:leader="none"/>
        </w:tabs>
      </w:pPr>
      <w:rPr>
        <w:rFonts w:hint="eastAsia"/>
      </w:rPr>
    </w:lvl>
    <w:lvl w:ilvl="4">
      <w:start w:val="1"/>
      <w:numFmt w:val="lowerLetter"/>
      <w:isLgl w:val="false"/>
      <w:suff w:val="tab"/>
      <w:lvlText w:val="%5)"/>
      <w:lvlJc w:val="left"/>
      <w:pPr>
        <w:ind w:left="2453" w:hanging="420"/>
        <w:tabs>
          <w:tab w:val="left" w:pos="0" w:leader="none"/>
        </w:tabs>
      </w:pPr>
      <w:rPr>
        <w:rFonts w:hint="eastAsia"/>
      </w:rPr>
    </w:lvl>
    <w:lvl w:ilvl="5">
      <w:start w:val="1"/>
      <w:numFmt w:val="lowerRoman"/>
      <w:isLgl w:val="false"/>
      <w:suff w:val="tab"/>
      <w:lvlText w:val="%6."/>
      <w:lvlJc w:val="right"/>
      <w:pPr>
        <w:ind w:left="2873" w:hanging="420"/>
        <w:tabs>
          <w:tab w:val="left" w:pos="0" w:leader="none"/>
        </w:tabs>
      </w:pPr>
      <w:rPr>
        <w:rFonts w:hint="eastAsia"/>
      </w:rPr>
    </w:lvl>
    <w:lvl w:ilvl="6">
      <w:start w:val="1"/>
      <w:numFmt w:val="decimal"/>
      <w:isLgl w:val="false"/>
      <w:suff w:val="tab"/>
      <w:lvlText w:val="%7."/>
      <w:lvlJc w:val="left"/>
      <w:pPr>
        <w:ind w:left="3293" w:hanging="420"/>
        <w:tabs>
          <w:tab w:val="left" w:pos="0" w:leader="none"/>
        </w:tabs>
      </w:pPr>
      <w:rPr>
        <w:rFonts w:hint="eastAsia"/>
      </w:rPr>
    </w:lvl>
    <w:lvl w:ilvl="7">
      <w:start w:val="1"/>
      <w:numFmt w:val="lowerLetter"/>
      <w:isLgl w:val="false"/>
      <w:suff w:val="tab"/>
      <w:lvlText w:val="%8)"/>
      <w:lvlJc w:val="left"/>
      <w:pPr>
        <w:ind w:left="3713" w:hanging="420"/>
        <w:tabs>
          <w:tab w:val="left" w:pos="0" w:leader="none"/>
        </w:tabs>
      </w:pPr>
      <w:rPr>
        <w:rFonts w:hint="eastAsia"/>
      </w:rPr>
    </w:lvl>
    <w:lvl w:ilvl="8">
      <w:start w:val="1"/>
      <w:numFmt w:val="lowerRoman"/>
      <w:isLgl w:val="false"/>
      <w:suff w:val="tab"/>
      <w:lvlText w:val="%9."/>
      <w:lvlJc w:val="right"/>
      <w:pPr>
        <w:ind w:left="4133" w:hanging="420"/>
        <w:tabs>
          <w:tab w:val="left" w:pos="0" w:leader="none"/>
        </w:tabs>
      </w:pPr>
      <w:rPr>
        <w:rFonts w:hint="eastAsia"/>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2">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43">
    <w:multiLevelType w:val="hybridMultilevel"/>
    <w:lvl w:ilvl="0">
      <w:start w:val="1"/>
      <w:numFmt w:val="chineseCountingThousand"/>
      <w:isLgl w:val="false"/>
      <w:suff w:val="tab"/>
      <w:lvlText w:val="(%1)"/>
      <w:lvlJc w:val="left"/>
      <w:pPr>
        <w:ind w:left="567" w:hanging="567"/>
        <w:tabs>
          <w:tab w:val="left" w:pos="0" w:leader="none"/>
        </w:tabs>
      </w:pPr>
      <w:rPr>
        <w:rFonts w:hint="eastAsia"/>
      </w:rPr>
    </w:lvl>
    <w:lvl w:ilvl="1">
      <w:start w:val="1"/>
      <w:numFmt w:val="lowerLetter"/>
      <w:isLgl w:val="false"/>
      <w:suff w:val="tab"/>
      <w:lvlText w:val="%2)"/>
      <w:lvlJc w:val="left"/>
      <w:pPr>
        <w:ind w:left="1193" w:hanging="420"/>
        <w:tabs>
          <w:tab w:val="left" w:pos="0" w:leader="none"/>
        </w:tabs>
      </w:pPr>
      <w:rPr>
        <w:rFonts w:hint="eastAsia"/>
      </w:rPr>
    </w:lvl>
    <w:lvl w:ilvl="2">
      <w:start w:val="1"/>
      <w:numFmt w:val="lowerRoman"/>
      <w:isLgl w:val="false"/>
      <w:suff w:val="tab"/>
      <w:lvlText w:val="%3."/>
      <w:lvlJc w:val="right"/>
      <w:pPr>
        <w:ind w:left="1613" w:hanging="420"/>
        <w:tabs>
          <w:tab w:val="left" w:pos="0" w:leader="none"/>
        </w:tabs>
      </w:pPr>
      <w:rPr>
        <w:rFonts w:hint="eastAsia"/>
      </w:rPr>
    </w:lvl>
    <w:lvl w:ilvl="3">
      <w:start w:val="1"/>
      <w:numFmt w:val="decimal"/>
      <w:isLgl w:val="false"/>
      <w:suff w:val="tab"/>
      <w:lvlText w:val="%4."/>
      <w:lvlJc w:val="left"/>
      <w:pPr>
        <w:ind w:left="2033" w:hanging="420"/>
        <w:tabs>
          <w:tab w:val="left" w:pos="0" w:leader="none"/>
        </w:tabs>
      </w:pPr>
      <w:rPr>
        <w:rFonts w:hint="eastAsia"/>
      </w:rPr>
    </w:lvl>
    <w:lvl w:ilvl="4">
      <w:start w:val="1"/>
      <w:numFmt w:val="lowerLetter"/>
      <w:isLgl w:val="false"/>
      <w:suff w:val="tab"/>
      <w:lvlText w:val="%5)"/>
      <w:lvlJc w:val="left"/>
      <w:pPr>
        <w:ind w:left="2453" w:hanging="420"/>
        <w:tabs>
          <w:tab w:val="left" w:pos="0" w:leader="none"/>
        </w:tabs>
      </w:pPr>
      <w:rPr>
        <w:rFonts w:hint="eastAsia"/>
      </w:rPr>
    </w:lvl>
    <w:lvl w:ilvl="5">
      <w:start w:val="1"/>
      <w:numFmt w:val="lowerRoman"/>
      <w:isLgl w:val="false"/>
      <w:suff w:val="tab"/>
      <w:lvlText w:val="%6."/>
      <w:lvlJc w:val="right"/>
      <w:pPr>
        <w:ind w:left="2873" w:hanging="420"/>
        <w:tabs>
          <w:tab w:val="left" w:pos="0" w:leader="none"/>
        </w:tabs>
      </w:pPr>
      <w:rPr>
        <w:rFonts w:hint="eastAsia"/>
      </w:rPr>
    </w:lvl>
    <w:lvl w:ilvl="6">
      <w:start w:val="1"/>
      <w:numFmt w:val="decimal"/>
      <w:isLgl w:val="false"/>
      <w:suff w:val="tab"/>
      <w:lvlText w:val="%7."/>
      <w:lvlJc w:val="left"/>
      <w:pPr>
        <w:ind w:left="3293" w:hanging="420"/>
        <w:tabs>
          <w:tab w:val="left" w:pos="0" w:leader="none"/>
        </w:tabs>
      </w:pPr>
      <w:rPr>
        <w:rFonts w:hint="eastAsia"/>
      </w:rPr>
    </w:lvl>
    <w:lvl w:ilvl="7">
      <w:start w:val="1"/>
      <w:numFmt w:val="lowerLetter"/>
      <w:isLgl w:val="false"/>
      <w:suff w:val="tab"/>
      <w:lvlText w:val="%8)"/>
      <w:lvlJc w:val="left"/>
      <w:pPr>
        <w:ind w:left="3713" w:hanging="420"/>
        <w:tabs>
          <w:tab w:val="left" w:pos="0" w:leader="none"/>
        </w:tabs>
      </w:pPr>
      <w:rPr>
        <w:rFonts w:hint="eastAsia"/>
      </w:rPr>
    </w:lvl>
    <w:lvl w:ilvl="8">
      <w:start w:val="1"/>
      <w:numFmt w:val="lowerRoman"/>
      <w:isLgl w:val="false"/>
      <w:suff w:val="tab"/>
      <w:lvlText w:val="%9."/>
      <w:lvlJc w:val="right"/>
      <w:pPr>
        <w:ind w:left="4133" w:hanging="420"/>
        <w:tabs>
          <w:tab w:val="left" w:pos="0" w:leader="none"/>
        </w:tabs>
      </w:pPr>
      <w:rPr>
        <w:rFonts w:hint="eastAsia"/>
      </w:rPr>
    </w:lvl>
  </w:abstractNum>
  <w:abstractNum w:abstractNumId="44">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45">
    <w:multiLevelType w:val="hybridMultilevel"/>
    <w:lvl w:ilvl="0">
      <w:start w:val="1"/>
      <w:numFmt w:val="bullet"/>
      <w:pStyle w:val="1117"/>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6">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48">
    <w:multiLevelType w:val="hybridMultilevel"/>
    <w:lvl w:ilvl="0">
      <w:start w:val="1"/>
      <w:numFmt w:val="chineseCountingThousand"/>
      <w:isLgl w:val="false"/>
      <w:suff w:val="tab"/>
      <w:lvlText w:val="%1、"/>
      <w:lvlJc w:val="left"/>
      <w:pPr>
        <w:ind w:left="420" w:hanging="420"/>
        <w:tabs>
          <w:tab w:val="left" w:pos="420" w:leader="none"/>
        </w:tabs>
      </w:pPr>
      <w:rPr>
        <w:rFonts w:hint="eastAsia" w:cs="Times New Roman"/>
        <w:b w:val="0"/>
      </w:rPr>
    </w:lvl>
    <w:lvl w:ilvl="1">
      <w:start w:val="1"/>
      <w:numFmt w:val="japaneseCounting"/>
      <w:isLgl w:val="false"/>
      <w:suff w:val="tab"/>
      <w:lvlText w:val="（%2）"/>
      <w:lvlJc w:val="left"/>
      <w:pPr>
        <w:ind w:left="1680" w:hanging="720"/>
        <w:tabs>
          <w:tab w:val="left" w:pos="1680" w:leader="none"/>
        </w:tabs>
      </w:pPr>
      <w:rPr>
        <w:rFonts w:hint="default"/>
      </w:rPr>
    </w:lvl>
    <w:lvl w:ilvl="2">
      <w:start w:val="1"/>
      <w:numFmt w:val="bullet"/>
      <w:isLgl w:val="false"/>
      <w:suff w:val="tab"/>
      <w:lvlText w:val=""/>
      <w:lvlJc w:val="left"/>
      <w:pPr>
        <w:ind w:left="1680" w:hanging="420"/>
        <w:tabs>
          <w:tab w:val="left" w:pos="1680" w:leader="none"/>
        </w:tabs>
      </w:pPr>
      <w:rPr>
        <w:rFonts w:hint="default" w:ascii="Wingdings" w:hAnsi="Wingdings"/>
        <w:b w:val="0"/>
      </w:r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chineseCountingThousand"/>
      <w:pStyle w:val="990"/>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5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8">
    <w:multiLevelType w:val="hybridMultilevel"/>
    <w:lvl w:ilvl="0">
      <w:start w:val="1"/>
      <w:numFmt w:val="decimal"/>
      <w:isLgl w:val="false"/>
      <w:suff w:val="tab"/>
      <w:lvlText w:val="（%1）"/>
      <w:lvlJc w:val="left"/>
      <w:pPr>
        <w:ind w:left="562" w:hanging="420"/>
        <w:tabs>
          <w:tab w:val="left" w:pos="562"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5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0"/>
  </w:num>
  <w:num w:numId="2">
    <w:abstractNumId w:val="23"/>
  </w:num>
  <w:num w:numId="3">
    <w:abstractNumId w:val="45"/>
  </w:num>
  <w:num w:numId="4">
    <w:abstractNumId w:val="21"/>
  </w:num>
  <w:num w:numId="5">
    <w:abstractNumId w:val="57"/>
  </w:num>
  <w:num w:numId="6">
    <w:abstractNumId w:val="10"/>
  </w:num>
  <w:num w:numId="7">
    <w:abstractNumId w:val="30"/>
  </w:num>
  <w:num w:numId="8">
    <w:abstractNumId w:val="3"/>
  </w:num>
  <w:num w:numId="9">
    <w:abstractNumId w:val="39"/>
  </w:num>
  <w:num w:numId="10">
    <w:abstractNumId w:val="24"/>
  </w:num>
  <w:num w:numId="11">
    <w:abstractNumId w:val="8"/>
  </w:num>
  <w:num w:numId="12">
    <w:abstractNumId w:val="55"/>
  </w:num>
  <w:num w:numId="13">
    <w:abstractNumId w:val="31"/>
  </w:num>
  <w:num w:numId="14">
    <w:abstractNumId w:val="19"/>
  </w:num>
  <w:num w:numId="15">
    <w:abstractNumId w:val="49"/>
  </w:num>
  <w:num w:numId="16">
    <w:abstractNumId w:val="0"/>
  </w:num>
  <w:num w:numId="17">
    <w:abstractNumId w:val="14"/>
  </w:num>
  <w:num w:numId="18">
    <w:abstractNumId w:val="4"/>
  </w:num>
  <w:num w:numId="19">
    <w:abstractNumId w:val="13"/>
  </w:num>
  <w:num w:numId="20">
    <w:abstractNumId w:val="7"/>
  </w:num>
  <w:num w:numId="21">
    <w:abstractNumId w:val="41"/>
  </w:num>
  <w:num w:numId="22">
    <w:abstractNumId w:val="27"/>
  </w:num>
  <w:num w:numId="23">
    <w:abstractNumId w:val="25"/>
  </w:num>
  <w:num w:numId="24">
    <w:abstractNumId w:val="29"/>
  </w:num>
  <w:num w:numId="25">
    <w:abstractNumId w:val="35"/>
  </w:num>
  <w:num w:numId="26">
    <w:abstractNumId w:val="58"/>
  </w:num>
  <w:num w:numId="27">
    <w:abstractNumId w:val="32"/>
  </w:num>
  <w:num w:numId="28">
    <w:abstractNumId w:val="11"/>
  </w:num>
  <w:num w:numId="29">
    <w:abstractNumId w:val="47"/>
  </w:num>
  <w:num w:numId="30">
    <w:abstractNumId w:val="12"/>
  </w:num>
  <w:num w:numId="31">
    <w:abstractNumId w:val="1"/>
  </w:num>
  <w:num w:numId="32">
    <w:abstractNumId w:val="48"/>
  </w:num>
  <w:num w:numId="33">
    <w:abstractNumId w:val="18"/>
  </w:num>
  <w:num w:numId="34">
    <w:abstractNumId w:val="59"/>
  </w:num>
  <w:num w:numId="35">
    <w:abstractNumId w:val="43"/>
  </w:num>
  <w:num w:numId="36">
    <w:abstractNumId w:val="28"/>
  </w:num>
  <w:num w:numId="37">
    <w:abstractNumId w:val="16"/>
  </w:num>
  <w:num w:numId="38">
    <w:abstractNumId w:val="52"/>
  </w:num>
  <w:num w:numId="39">
    <w:abstractNumId w:val="53"/>
  </w:num>
  <w:num w:numId="40">
    <w:abstractNumId w:val="34"/>
  </w:num>
  <w:num w:numId="41">
    <w:abstractNumId w:val="9"/>
  </w:num>
  <w:num w:numId="42">
    <w:abstractNumId w:val="54"/>
  </w:num>
  <w:num w:numId="43">
    <w:abstractNumId w:val="56"/>
  </w:num>
  <w:num w:numId="44">
    <w:abstractNumId w:val="37"/>
  </w:num>
  <w:num w:numId="45">
    <w:abstractNumId w:val="38"/>
  </w:num>
  <w:num w:numId="46">
    <w:abstractNumId w:val="42"/>
  </w:num>
  <w:num w:numId="47">
    <w:abstractNumId w:val="36"/>
  </w:num>
  <w:num w:numId="48">
    <w:abstractNumId w:val="15"/>
  </w:num>
  <w:num w:numId="49">
    <w:abstractNumId w:val="5"/>
  </w:num>
  <w:num w:numId="50">
    <w:abstractNumId w:val="26"/>
  </w:num>
  <w:num w:numId="51">
    <w:abstractNumId w:val="20"/>
  </w:num>
  <w:num w:numId="52">
    <w:abstractNumId w:val="22"/>
  </w:num>
  <w:num w:numId="53">
    <w:abstractNumId w:val="17"/>
  </w:num>
  <w:num w:numId="54">
    <w:abstractNumId w:val="6"/>
  </w:num>
  <w:num w:numId="55">
    <w:abstractNumId w:val="2"/>
  </w:num>
  <w:num w:numId="56">
    <w:abstractNumId w:val="44"/>
  </w:num>
  <w:num w:numId="57">
    <w:abstractNumId w:val="40"/>
  </w:num>
  <w:num w:numId="58">
    <w:abstractNumId w:val="51"/>
  </w:num>
  <w:num w:numId="5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961"/>
    <w:link w:val="952"/>
    <w:uiPriority w:val="9"/>
    <w:rPr>
      <w:rFonts w:ascii="Arial" w:hAnsi="Arial" w:eastAsia="Arial" w:cs="Arial"/>
      <w:sz w:val="40"/>
      <w:szCs w:val="40"/>
    </w:rPr>
  </w:style>
  <w:style w:type="character" w:styleId="803">
    <w:name w:val="Heading 2 Char"/>
    <w:basedOn w:val="961"/>
    <w:link w:val="953"/>
    <w:uiPriority w:val="9"/>
    <w:rPr>
      <w:rFonts w:ascii="Arial" w:hAnsi="Arial" w:eastAsia="Arial" w:cs="Arial"/>
      <w:sz w:val="34"/>
    </w:rPr>
  </w:style>
  <w:style w:type="character" w:styleId="804">
    <w:name w:val="Heading 3 Char"/>
    <w:basedOn w:val="961"/>
    <w:link w:val="954"/>
    <w:uiPriority w:val="9"/>
    <w:rPr>
      <w:rFonts w:ascii="Arial" w:hAnsi="Arial" w:eastAsia="Arial" w:cs="Arial"/>
      <w:sz w:val="30"/>
      <w:szCs w:val="30"/>
    </w:rPr>
  </w:style>
  <w:style w:type="character" w:styleId="805">
    <w:name w:val="Heading 4 Char"/>
    <w:basedOn w:val="961"/>
    <w:link w:val="955"/>
    <w:uiPriority w:val="9"/>
    <w:rPr>
      <w:rFonts w:ascii="Arial" w:hAnsi="Arial" w:eastAsia="Arial" w:cs="Arial"/>
      <w:b/>
      <w:bCs/>
      <w:sz w:val="26"/>
      <w:szCs w:val="26"/>
    </w:rPr>
  </w:style>
  <w:style w:type="character" w:styleId="806">
    <w:name w:val="Heading 5 Char"/>
    <w:basedOn w:val="961"/>
    <w:link w:val="956"/>
    <w:uiPriority w:val="9"/>
    <w:rPr>
      <w:rFonts w:ascii="Arial" w:hAnsi="Arial" w:eastAsia="Arial" w:cs="Arial"/>
      <w:b/>
      <w:bCs/>
      <w:sz w:val="24"/>
      <w:szCs w:val="24"/>
    </w:rPr>
  </w:style>
  <w:style w:type="character" w:styleId="807">
    <w:name w:val="Heading 6 Char"/>
    <w:basedOn w:val="961"/>
    <w:link w:val="957"/>
    <w:uiPriority w:val="9"/>
    <w:rPr>
      <w:rFonts w:ascii="Arial" w:hAnsi="Arial" w:eastAsia="Arial" w:cs="Arial"/>
      <w:b/>
      <w:bCs/>
      <w:sz w:val="22"/>
      <w:szCs w:val="22"/>
    </w:rPr>
  </w:style>
  <w:style w:type="character" w:styleId="808">
    <w:name w:val="Heading 7 Char"/>
    <w:basedOn w:val="961"/>
    <w:link w:val="958"/>
    <w:uiPriority w:val="9"/>
    <w:rPr>
      <w:rFonts w:ascii="Arial" w:hAnsi="Arial" w:eastAsia="Arial" w:cs="Arial"/>
      <w:b/>
      <w:bCs/>
      <w:i/>
      <w:iCs/>
      <w:sz w:val="22"/>
      <w:szCs w:val="22"/>
    </w:rPr>
  </w:style>
  <w:style w:type="character" w:styleId="809">
    <w:name w:val="Heading 8 Char"/>
    <w:basedOn w:val="961"/>
    <w:link w:val="959"/>
    <w:uiPriority w:val="9"/>
    <w:rPr>
      <w:rFonts w:ascii="Arial" w:hAnsi="Arial" w:eastAsia="Arial" w:cs="Arial"/>
      <w:i/>
      <w:iCs/>
      <w:sz w:val="22"/>
      <w:szCs w:val="22"/>
    </w:rPr>
  </w:style>
  <w:style w:type="character" w:styleId="810">
    <w:name w:val="Heading 9 Char"/>
    <w:basedOn w:val="961"/>
    <w:link w:val="960"/>
    <w:uiPriority w:val="9"/>
    <w:rPr>
      <w:rFonts w:ascii="Arial" w:hAnsi="Arial" w:eastAsia="Arial" w:cs="Arial"/>
      <w:i/>
      <w:iCs/>
      <w:sz w:val="21"/>
      <w:szCs w:val="21"/>
    </w:rPr>
  </w:style>
  <w:style w:type="character" w:styleId="811">
    <w:name w:val="Title Char"/>
    <w:basedOn w:val="961"/>
    <w:link w:val="1008"/>
    <w:uiPriority w:val="10"/>
    <w:rPr>
      <w:sz w:val="48"/>
      <w:szCs w:val="48"/>
    </w:rPr>
  </w:style>
  <w:style w:type="character" w:styleId="812">
    <w:name w:val="Subtitle Char"/>
    <w:basedOn w:val="961"/>
    <w:link w:val="994"/>
    <w:uiPriority w:val="11"/>
    <w:rPr>
      <w:sz w:val="24"/>
      <w:szCs w:val="24"/>
    </w:rPr>
  </w:style>
  <w:style w:type="paragraph" w:styleId="813">
    <w:name w:val="Quote"/>
    <w:basedOn w:val="951"/>
    <w:next w:val="951"/>
    <w:link w:val="814"/>
    <w:uiPriority w:val="29"/>
    <w:qFormat/>
    <w:pPr>
      <w:ind w:left="720" w:right="720"/>
    </w:pPr>
    <w:rPr>
      <w:i/>
    </w:rPr>
  </w:style>
  <w:style w:type="character" w:styleId="814">
    <w:name w:val="Quote Char"/>
    <w:link w:val="813"/>
    <w:uiPriority w:val="29"/>
    <w:rPr>
      <w:i/>
    </w:rPr>
  </w:style>
  <w:style w:type="paragraph" w:styleId="815">
    <w:name w:val="Intense Quote"/>
    <w:basedOn w:val="951"/>
    <w:next w:val="951"/>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character" w:styleId="817">
    <w:name w:val="Header Char"/>
    <w:basedOn w:val="961"/>
    <w:link w:val="989"/>
    <w:uiPriority w:val="99"/>
  </w:style>
  <w:style w:type="character" w:styleId="818">
    <w:name w:val="Footer Char"/>
    <w:basedOn w:val="961"/>
    <w:link w:val="986"/>
    <w:uiPriority w:val="99"/>
  </w:style>
  <w:style w:type="paragraph" w:styleId="819">
    <w:name w:val="Caption"/>
    <w:basedOn w:val="951"/>
    <w:next w:val="951"/>
    <w:uiPriority w:val="35"/>
    <w:semiHidden/>
    <w:unhideWhenUsed/>
    <w:qFormat/>
    <w:pPr>
      <w:spacing w:line="276" w:lineRule="auto"/>
    </w:pPr>
    <w:rPr>
      <w:b/>
      <w:bCs/>
      <w:color w:val="4f81bd" w:themeColor="accent1"/>
      <w:sz w:val="18"/>
      <w:szCs w:val="18"/>
    </w:rPr>
  </w:style>
  <w:style w:type="character" w:styleId="820">
    <w:name w:val="Caption Char"/>
    <w:basedOn w:val="819"/>
    <w:link w:val="986"/>
    <w:uiPriority w:val="99"/>
  </w:style>
  <w:style w:type="table" w:styleId="821">
    <w:name w:val="Table Grid Light"/>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basedOn w:val="9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basedOn w:val="9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basedOn w:val="9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basedOn w:val="9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basedOn w:val="9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basedOn w:val="9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basedOn w:val="9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basedOn w:val="9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basedOn w:val="9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basedOn w:val="9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basedOn w:val="9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basedOn w:val="9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basedOn w:val="9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basedOn w:val="9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basedOn w:val="9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basedOn w:val="9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basedOn w:val="9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basedOn w:val="9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basedOn w:val="9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basedOn w:val="9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basedOn w:val="9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basedOn w:val="9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basedOn w:val="9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basedOn w:val="9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basedOn w:val="9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basedOn w:val="9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basedOn w:val="9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basedOn w:val="9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basedOn w:val="9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basedOn w:val="9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basedOn w:val="9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basedOn w:val="9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basedOn w:val="9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basedOn w:val="9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basedOn w:val="9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basedOn w:val="9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basedOn w:val="9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basedOn w:val="9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basedOn w:val="9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basedOn w:val="9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basedOn w:val="9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basedOn w:val="9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basedOn w:val="9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basedOn w:val="9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basedOn w:val="9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basedOn w:val="9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basedOn w:val="9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basedOn w:val="9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basedOn w:val="9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basedOn w:val="9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basedOn w:val="9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basedOn w:val="9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basedOn w:val="9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basedOn w:val="9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basedOn w:val="9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basedOn w:val="9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basedOn w:val="9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basedOn w:val="9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basedOn w:val="9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basedOn w:val="9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basedOn w:val="9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basedOn w:val="9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Footnote Text Char"/>
    <w:link w:val="996"/>
    <w:uiPriority w:val="99"/>
    <w:rPr>
      <w:sz w:val="18"/>
    </w:rPr>
  </w:style>
  <w:style w:type="paragraph" w:styleId="947">
    <w:name w:val="endnote text"/>
    <w:basedOn w:val="95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basedOn w:val="961"/>
    <w:uiPriority w:val="99"/>
    <w:semiHidden/>
    <w:unhideWhenUsed/>
    <w:rPr>
      <w:vertAlign w:val="superscript"/>
    </w:rPr>
  </w:style>
  <w:style w:type="paragraph" w:styleId="950">
    <w:name w:val="TOC Heading"/>
    <w:uiPriority w:val="39"/>
    <w:unhideWhenUsed/>
  </w:style>
  <w:style w:type="paragraph" w:styleId="951" w:default="1">
    <w:name w:val="Normal"/>
    <w:next w:val="963"/>
    <w:uiPriority w:val="0"/>
    <w:qFormat/>
    <w:pPr>
      <w:jc w:val="both"/>
      <w:widowControl w:val="off"/>
    </w:pPr>
    <w:rPr>
      <w:rFonts w:ascii="Calibri" w:hAnsi="Calibri" w:eastAsia="宋体" w:cs="Times New Roman"/>
      <w:sz w:val="21"/>
      <w:szCs w:val="24"/>
      <w:lang w:val="en-US" w:eastAsia="zh-CN" w:bidi="ar-SA"/>
    </w:rPr>
  </w:style>
  <w:style w:type="paragraph" w:styleId="952">
    <w:name w:val="Heading 1"/>
    <w:basedOn w:val="951"/>
    <w:next w:val="951"/>
    <w:link w:val="1022"/>
    <w:uiPriority w:val="9"/>
    <w:qFormat/>
    <w:pPr>
      <w:keepLines/>
      <w:keepNext/>
      <w:spacing w:before="340" w:after="330" w:line="576" w:lineRule="auto"/>
      <w:outlineLvl w:val="0"/>
    </w:pPr>
    <w:rPr>
      <w:b/>
      <w:bCs/>
      <w:sz w:val="44"/>
      <w:szCs w:val="44"/>
    </w:rPr>
  </w:style>
  <w:style w:type="paragraph" w:styleId="953">
    <w:name w:val="Heading 2"/>
    <w:basedOn w:val="951"/>
    <w:next w:val="951"/>
    <w:link w:val="1023"/>
    <w:uiPriority w:val="0"/>
    <w:qFormat/>
    <w:pPr>
      <w:keepLines/>
      <w:keepNext/>
      <w:spacing w:before="260" w:after="260" w:line="415" w:lineRule="auto"/>
      <w:outlineLvl w:val="1"/>
    </w:pPr>
    <w:rPr>
      <w:rFonts w:ascii="Arial" w:hAnsi="Arial" w:eastAsia="黑体"/>
      <w:b/>
      <w:bCs/>
      <w:sz w:val="32"/>
      <w:szCs w:val="32"/>
    </w:rPr>
  </w:style>
  <w:style w:type="paragraph" w:styleId="954">
    <w:name w:val="Heading 3"/>
    <w:basedOn w:val="951"/>
    <w:next w:val="951"/>
    <w:link w:val="1162"/>
    <w:uiPriority w:val="9"/>
    <w:qFormat/>
    <w:pPr>
      <w:keepLines/>
      <w:keepNext/>
      <w:spacing w:before="260" w:after="260" w:line="415" w:lineRule="auto"/>
      <w:outlineLvl w:val="2"/>
    </w:pPr>
    <w:rPr>
      <w:b/>
      <w:bCs/>
      <w:sz w:val="32"/>
      <w:szCs w:val="32"/>
    </w:rPr>
  </w:style>
  <w:style w:type="paragraph" w:styleId="955">
    <w:name w:val="Heading 4"/>
    <w:basedOn w:val="951"/>
    <w:next w:val="951"/>
    <w:uiPriority w:val="0"/>
    <w:qFormat/>
    <w:pPr>
      <w:keepLines/>
      <w:keepNext/>
      <w:spacing w:before="280" w:after="290" w:line="376" w:lineRule="auto"/>
      <w:outlineLvl w:val="3"/>
    </w:pPr>
    <w:rPr>
      <w:rFonts w:ascii="Arial" w:hAnsi="Arial" w:eastAsia="黑体"/>
      <w:b/>
      <w:bCs/>
      <w:sz w:val="28"/>
      <w:szCs w:val="28"/>
    </w:rPr>
  </w:style>
  <w:style w:type="paragraph" w:styleId="956">
    <w:name w:val="Heading 5"/>
    <w:basedOn w:val="951"/>
    <w:next w:val="951"/>
    <w:link w:val="1024"/>
    <w:uiPriority w:val="0"/>
    <w:qFormat/>
    <w:pPr>
      <w:jc w:val="left"/>
      <w:keepLines/>
      <w:keepNext/>
      <w:spacing w:before="280" w:after="290" w:line="376" w:lineRule="atLeast"/>
      <w:outlineLvl w:val="4"/>
    </w:pPr>
    <w:rPr>
      <w:rFonts w:ascii="宋体" w:hAnsi="Tms Rmn"/>
      <w:b/>
      <w:sz w:val="28"/>
      <w:szCs w:val="20"/>
    </w:rPr>
  </w:style>
  <w:style w:type="paragraph" w:styleId="957">
    <w:name w:val="Heading 6"/>
    <w:basedOn w:val="951"/>
    <w:next w:val="951"/>
    <w:link w:val="1025"/>
    <w:uiPriority w:val="0"/>
    <w:qFormat/>
    <w:pPr>
      <w:jc w:val="left"/>
      <w:keepLines/>
      <w:keepNext/>
      <w:spacing w:before="240" w:after="64" w:line="320" w:lineRule="atLeast"/>
      <w:outlineLvl w:val="5"/>
    </w:pPr>
    <w:rPr>
      <w:rFonts w:ascii="黑体" w:hAnsi="Tms Rmn" w:eastAsia="黑体"/>
      <w:b/>
      <w:sz w:val="24"/>
      <w:szCs w:val="20"/>
    </w:rPr>
  </w:style>
  <w:style w:type="paragraph" w:styleId="958">
    <w:name w:val="Heading 7"/>
    <w:basedOn w:val="951"/>
    <w:next w:val="951"/>
    <w:link w:val="1026"/>
    <w:uiPriority w:val="0"/>
    <w:qFormat/>
    <w:pPr>
      <w:jc w:val="left"/>
      <w:keepLines/>
      <w:keepNext/>
      <w:spacing w:before="240" w:after="64" w:line="320" w:lineRule="atLeast"/>
      <w:outlineLvl w:val="6"/>
    </w:pPr>
    <w:rPr>
      <w:rFonts w:ascii="宋体" w:hAnsi="Tms Rmn"/>
      <w:b/>
      <w:sz w:val="24"/>
      <w:szCs w:val="20"/>
    </w:rPr>
  </w:style>
  <w:style w:type="paragraph" w:styleId="959">
    <w:name w:val="Heading 8"/>
    <w:basedOn w:val="951"/>
    <w:next w:val="951"/>
    <w:link w:val="1027"/>
    <w:uiPriority w:val="0"/>
    <w:qFormat/>
    <w:pPr>
      <w:keepLines/>
      <w:keepNext/>
      <w:spacing w:before="240" w:after="64" w:line="320" w:lineRule="auto"/>
      <w:outlineLvl w:val="7"/>
    </w:pPr>
    <w:rPr>
      <w:rFonts w:ascii="Arial" w:hAnsi="Arial" w:eastAsia="黑体"/>
      <w:sz w:val="24"/>
    </w:rPr>
  </w:style>
  <w:style w:type="paragraph" w:styleId="960">
    <w:name w:val="Heading 9"/>
    <w:basedOn w:val="951"/>
    <w:next w:val="951"/>
    <w:link w:val="1028"/>
    <w:uiPriority w:val="0"/>
    <w:qFormat/>
    <w:pPr>
      <w:keepLines/>
      <w:keepNext/>
      <w:spacing w:before="240" w:after="64" w:line="320" w:lineRule="auto"/>
      <w:outlineLvl w:val="8"/>
    </w:pPr>
    <w:rPr>
      <w:rFonts w:ascii="Arial" w:hAnsi="Arial" w:eastAsia="黑体"/>
      <w:szCs w:val="21"/>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Layout w:type="fixed"/>
      <w:tblCellMar>
        <w:left w:w="108" w:type="dxa"/>
        <w:top w:w="0" w:type="dxa"/>
        <w:right w:w="108" w:type="dxa"/>
        <w:bottom w:w="0" w:type="dxa"/>
      </w:tblCellMar>
    </w:tblPr>
  </w:style>
  <w:style w:type="paragraph" w:styleId="963">
    <w:name w:val="Normal Indent"/>
    <w:basedOn w:val="951"/>
    <w:next w:val="951"/>
    <w:link w:val="1029"/>
    <w:uiPriority w:val="0"/>
    <w:qFormat/>
    <w:pPr>
      <w:ind w:firstLine="420"/>
      <w:jc w:val="left"/>
    </w:pPr>
    <w:rPr>
      <w:rFonts w:eastAsia="楷体_GB2312"/>
      <w:sz w:val="24"/>
      <w:szCs w:val="20"/>
    </w:rPr>
  </w:style>
  <w:style w:type="paragraph" w:styleId="964">
    <w:name w:val="annotation subject"/>
    <w:basedOn w:val="965"/>
    <w:next w:val="965"/>
    <w:link w:val="1161"/>
    <w:uiPriority w:val="99"/>
    <w:qFormat/>
    <w:rPr>
      <w:b/>
      <w:bCs/>
    </w:rPr>
  </w:style>
  <w:style w:type="paragraph" w:styleId="965">
    <w:name w:val="annotation text"/>
    <w:basedOn w:val="951"/>
    <w:link w:val="1030"/>
    <w:uiPriority w:val="99"/>
    <w:qFormat/>
    <w:pPr>
      <w:jc w:val="left"/>
    </w:pPr>
  </w:style>
  <w:style w:type="paragraph" w:styleId="966">
    <w:name w:val="toc 7"/>
    <w:basedOn w:val="951"/>
    <w:next w:val="951"/>
    <w:uiPriority w:val="0"/>
    <w:qFormat/>
    <w:pPr>
      <w:ind w:left="2520"/>
    </w:pPr>
    <w:rPr>
      <w:rFonts w:eastAsia="楷体_GB2312"/>
      <w:sz w:val="26"/>
      <w:szCs w:val="20"/>
    </w:rPr>
  </w:style>
  <w:style w:type="paragraph" w:styleId="967">
    <w:name w:val="Body Text First Indent"/>
    <w:basedOn w:val="968"/>
    <w:link w:val="1039"/>
    <w:uiPriority w:val="0"/>
    <w:qFormat/>
    <w:pPr>
      <w:ind w:firstLine="420"/>
      <w:spacing w:after="120"/>
      <w:tabs>
        <w:tab w:val="left" w:pos="5250" w:leader="none"/>
      </w:tabs>
    </w:pPr>
    <w:rPr>
      <w:rFonts w:eastAsia="楷体_GB2312"/>
      <w:sz w:val="26"/>
      <w:szCs w:val="20"/>
    </w:rPr>
  </w:style>
  <w:style w:type="paragraph" w:styleId="968">
    <w:name w:val="Body Text"/>
    <w:basedOn w:val="951"/>
    <w:next w:val="951"/>
    <w:link w:val="1031"/>
    <w:uiPriority w:val="99"/>
    <w:qFormat/>
    <w:pPr>
      <w:tabs>
        <w:tab w:val="left" w:pos="5250" w:leader="none"/>
      </w:tabs>
    </w:pPr>
    <w:rPr>
      <w:sz w:val="28"/>
    </w:rPr>
  </w:style>
  <w:style w:type="paragraph" w:styleId="969">
    <w:name w:val="index 8"/>
    <w:basedOn w:val="951"/>
    <w:next w:val="951"/>
    <w:uiPriority w:val="0"/>
    <w:qFormat/>
    <w:pPr>
      <w:ind w:left="2940"/>
    </w:pPr>
    <w:rPr>
      <w:rFonts w:eastAsia="楷体_GB2312"/>
      <w:sz w:val="26"/>
      <w:szCs w:val="20"/>
    </w:rPr>
  </w:style>
  <w:style w:type="paragraph" w:styleId="970">
    <w:name w:val="List Number"/>
    <w:basedOn w:val="951"/>
    <w:uiPriority w:val="0"/>
    <w:qFormat/>
    <w:pPr>
      <w:ind w:left="1125" w:hanging="555"/>
      <w:tabs>
        <w:tab w:val="left" w:pos="1125" w:leader="none"/>
      </w:tabs>
    </w:pPr>
  </w:style>
  <w:style w:type="paragraph" w:styleId="971">
    <w:name w:val="index 5"/>
    <w:basedOn w:val="951"/>
    <w:next w:val="951"/>
    <w:uiPriority w:val="0"/>
    <w:qFormat/>
    <w:pPr>
      <w:ind w:left="1680"/>
    </w:pPr>
    <w:rPr>
      <w:rFonts w:eastAsia="楷体_GB2312"/>
      <w:sz w:val="26"/>
      <w:szCs w:val="20"/>
    </w:rPr>
  </w:style>
  <w:style w:type="paragraph" w:styleId="972">
    <w:name w:val="Document Map"/>
    <w:basedOn w:val="951"/>
    <w:uiPriority w:val="0"/>
    <w:semiHidden/>
    <w:qFormat/>
    <w:pPr>
      <w:shd w:val="clear" w:color="auto" w:fill="000080"/>
    </w:pPr>
  </w:style>
  <w:style w:type="paragraph" w:styleId="973">
    <w:name w:val="index 6"/>
    <w:basedOn w:val="951"/>
    <w:next w:val="951"/>
    <w:uiPriority w:val="0"/>
    <w:qFormat/>
    <w:pPr>
      <w:ind w:left="2100"/>
    </w:pPr>
    <w:rPr>
      <w:rFonts w:eastAsia="楷体_GB2312"/>
      <w:sz w:val="26"/>
      <w:szCs w:val="20"/>
    </w:rPr>
  </w:style>
  <w:style w:type="paragraph" w:styleId="974">
    <w:name w:val="Body Text Indent"/>
    <w:basedOn w:val="951"/>
    <w:next w:val="951"/>
    <w:link w:val="1021"/>
    <w:uiPriority w:val="0"/>
    <w:qFormat/>
    <w:pPr>
      <w:ind w:firstLine="560"/>
      <w:jc w:val="left"/>
      <w:spacing w:line="300" w:lineRule="auto"/>
    </w:pPr>
    <w:rPr>
      <w:sz w:val="28"/>
    </w:rPr>
  </w:style>
  <w:style w:type="paragraph" w:styleId="975">
    <w:name w:val="List 2"/>
    <w:basedOn w:val="951"/>
    <w:uiPriority w:val="0"/>
    <w:qFormat/>
    <w:pPr>
      <w:ind w:left="840" w:hanging="420"/>
    </w:pPr>
  </w:style>
  <w:style w:type="paragraph" w:styleId="976">
    <w:name w:val="Block Text"/>
    <w:basedOn w:val="951"/>
    <w:uiPriority w:val="0"/>
    <w:qFormat/>
    <w:pPr>
      <w:ind w:left="630" w:right="-609" w:firstLine="420"/>
      <w:spacing w:line="360" w:lineRule="auto"/>
    </w:pPr>
    <w:rPr>
      <w:rFonts w:hint="eastAsia" w:ascii="仿宋_GB2312" w:eastAsia="仿宋_GB2312"/>
      <w:szCs w:val="20"/>
    </w:rPr>
  </w:style>
  <w:style w:type="paragraph" w:styleId="977">
    <w:name w:val="index 4"/>
    <w:basedOn w:val="951"/>
    <w:next w:val="951"/>
    <w:uiPriority w:val="0"/>
    <w:qFormat/>
    <w:pPr>
      <w:ind w:left="1260"/>
    </w:pPr>
    <w:rPr>
      <w:rFonts w:eastAsia="楷体_GB2312"/>
      <w:sz w:val="26"/>
      <w:szCs w:val="20"/>
    </w:rPr>
  </w:style>
  <w:style w:type="paragraph" w:styleId="978">
    <w:name w:val="toc 5"/>
    <w:basedOn w:val="951"/>
    <w:next w:val="951"/>
    <w:uiPriority w:val="0"/>
    <w:qFormat/>
    <w:pPr>
      <w:ind w:left="1680"/>
    </w:pPr>
    <w:rPr>
      <w:rFonts w:eastAsia="楷体_GB2312"/>
      <w:sz w:val="26"/>
      <w:szCs w:val="20"/>
    </w:rPr>
  </w:style>
  <w:style w:type="paragraph" w:styleId="979">
    <w:name w:val="toc 3"/>
    <w:basedOn w:val="951"/>
    <w:next w:val="951"/>
    <w:uiPriority w:val="39"/>
    <w:qFormat/>
    <w:pPr>
      <w:ind w:left="840"/>
    </w:pPr>
    <w:rPr>
      <w:szCs w:val="20"/>
    </w:rPr>
  </w:style>
  <w:style w:type="paragraph" w:styleId="980">
    <w:name w:val="Plain Text"/>
    <w:basedOn w:val="951"/>
    <w:link w:val="1032"/>
    <w:uiPriority w:val="0"/>
    <w:qFormat/>
    <w:rPr>
      <w:rFonts w:ascii="宋体" w:hAnsi="Courier New" w:eastAsia="楷体_GB2312"/>
      <w:sz w:val="28"/>
      <w:szCs w:val="20"/>
    </w:rPr>
  </w:style>
  <w:style w:type="paragraph" w:styleId="981">
    <w:name w:val="toc 8"/>
    <w:basedOn w:val="951"/>
    <w:next w:val="951"/>
    <w:uiPriority w:val="0"/>
    <w:qFormat/>
    <w:pPr>
      <w:ind w:left="2940"/>
    </w:pPr>
    <w:rPr>
      <w:rFonts w:eastAsia="楷体_GB2312"/>
      <w:sz w:val="26"/>
      <w:szCs w:val="20"/>
    </w:rPr>
  </w:style>
  <w:style w:type="paragraph" w:styleId="982">
    <w:name w:val="index 3"/>
    <w:basedOn w:val="951"/>
    <w:next w:val="951"/>
    <w:uiPriority w:val="0"/>
    <w:qFormat/>
    <w:pPr>
      <w:ind w:left="840"/>
    </w:pPr>
    <w:rPr>
      <w:rFonts w:eastAsia="楷体_GB2312"/>
      <w:sz w:val="26"/>
      <w:szCs w:val="20"/>
    </w:rPr>
  </w:style>
  <w:style w:type="paragraph" w:styleId="983">
    <w:name w:val="Date"/>
    <w:basedOn w:val="951"/>
    <w:next w:val="951"/>
    <w:link w:val="1033"/>
    <w:uiPriority w:val="99"/>
    <w:qFormat/>
    <w:rPr>
      <w:szCs w:val="20"/>
    </w:rPr>
  </w:style>
  <w:style w:type="paragraph" w:styleId="984">
    <w:name w:val="Body Text Indent 2"/>
    <w:basedOn w:val="951"/>
    <w:link w:val="1034"/>
    <w:uiPriority w:val="0"/>
    <w:qFormat/>
    <w:pPr>
      <w:ind w:left="840"/>
      <w:spacing w:line="360" w:lineRule="auto"/>
      <w:tabs>
        <w:tab w:val="left" w:pos="630" w:leader="none"/>
      </w:tabs>
    </w:pPr>
    <w:rPr>
      <w:rFonts w:ascii="宋体" w:hAnsi="宋体"/>
    </w:rPr>
  </w:style>
  <w:style w:type="paragraph" w:styleId="985">
    <w:name w:val="Balloon Text"/>
    <w:basedOn w:val="951"/>
    <w:link w:val="1166"/>
    <w:uiPriority w:val="99"/>
    <w:qFormat/>
    <w:rPr>
      <w:sz w:val="18"/>
      <w:szCs w:val="18"/>
    </w:rPr>
  </w:style>
  <w:style w:type="paragraph" w:styleId="986">
    <w:name w:val="Footer"/>
    <w:basedOn w:val="951"/>
    <w:link w:val="1154"/>
    <w:uiPriority w:val="99"/>
    <w:qFormat/>
    <w:pPr>
      <w:jc w:val="left"/>
      <w:tabs>
        <w:tab w:val="center" w:pos="4153" w:leader="none"/>
        <w:tab w:val="right" w:pos="8306" w:leader="none"/>
      </w:tabs>
    </w:pPr>
    <w:rPr>
      <w:sz w:val="18"/>
      <w:szCs w:val="18"/>
    </w:rPr>
  </w:style>
  <w:style w:type="paragraph" w:styleId="987">
    <w:name w:val="envelope return"/>
    <w:basedOn w:val="951"/>
    <w:uiPriority w:val="0"/>
    <w:qFormat/>
    <w:rPr>
      <w:sz w:val="26"/>
    </w:rPr>
  </w:style>
  <w:style w:type="paragraph" w:styleId="988">
    <w:name w:val="Body Text First Indent 2"/>
    <w:basedOn w:val="974"/>
    <w:uiPriority w:val="0"/>
    <w:qFormat/>
    <w:pPr>
      <w:ind w:left="420"/>
      <w:spacing w:after="120" w:line="240" w:lineRule="auto"/>
    </w:pPr>
    <w:rPr>
      <w:rFonts w:ascii="Times New Roman" w:hAnsi="Times New Roman"/>
      <w:sz w:val="21"/>
      <w:szCs w:val="20"/>
      <w:lang w:val="en-US" w:eastAsia="zh-CN"/>
    </w:rPr>
  </w:style>
  <w:style w:type="paragraph" w:styleId="989">
    <w:name w:val="Header"/>
    <w:basedOn w:val="951"/>
    <w:link w:val="1165"/>
    <w:uiPriority w:val="99"/>
    <w:qFormat/>
    <w:pPr>
      <w:jc w:val="center"/>
      <w:tabs>
        <w:tab w:val="center" w:pos="4153" w:leader="none"/>
        <w:tab w:val="right" w:pos="8306" w:leader="none"/>
      </w:tabs>
      <w:pBdr>
        <w:bottom w:val="single" w:color="auto" w:sz="6" w:space="1"/>
      </w:pBdr>
    </w:pPr>
    <w:rPr>
      <w:sz w:val="18"/>
      <w:szCs w:val="18"/>
    </w:rPr>
  </w:style>
  <w:style w:type="paragraph" w:styleId="990">
    <w:name w:val="toc 1"/>
    <w:basedOn w:val="951"/>
    <w:next w:val="951"/>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991">
    <w:name w:val="toc 4"/>
    <w:basedOn w:val="951"/>
    <w:next w:val="951"/>
    <w:uiPriority w:val="0"/>
    <w:qFormat/>
    <w:pPr>
      <w:ind w:left="1260"/>
    </w:pPr>
    <w:rPr>
      <w:rFonts w:eastAsia="楷体_GB2312"/>
      <w:sz w:val="26"/>
      <w:szCs w:val="20"/>
    </w:rPr>
  </w:style>
  <w:style w:type="paragraph" w:styleId="992">
    <w:name w:val="index heading"/>
    <w:basedOn w:val="951"/>
    <w:next w:val="993"/>
    <w:uiPriority w:val="0"/>
    <w:semiHidden/>
    <w:qFormat/>
    <w:rPr>
      <w:rFonts w:eastAsia="楷体_GB2312"/>
      <w:sz w:val="26"/>
      <w:szCs w:val="20"/>
    </w:rPr>
  </w:style>
  <w:style w:type="paragraph" w:styleId="993">
    <w:name w:val="index 1"/>
    <w:basedOn w:val="951"/>
    <w:next w:val="951"/>
    <w:uiPriority w:val="0"/>
    <w:semiHidden/>
    <w:qFormat/>
  </w:style>
  <w:style w:type="paragraph" w:styleId="994">
    <w:name w:val="Subtitle"/>
    <w:basedOn w:val="951"/>
    <w:next w:val="951"/>
    <w:uiPriority w:val="0"/>
    <w:qFormat/>
    <w:pPr>
      <w:jc w:val="left"/>
      <w:outlineLvl w:val="1"/>
    </w:pPr>
    <w:rPr>
      <w:rFonts w:ascii="Calibri Light" w:hAnsi="Calibri Light" w:eastAsia="仿宋"/>
      <w:b/>
      <w:bCs/>
      <w:sz w:val="28"/>
      <w:szCs w:val="32"/>
    </w:rPr>
  </w:style>
  <w:style w:type="paragraph" w:styleId="995">
    <w:name w:val="List"/>
    <w:basedOn w:val="951"/>
    <w:uiPriority w:val="0"/>
    <w:qFormat/>
    <w:pPr>
      <w:ind w:left="420" w:hanging="420"/>
    </w:pPr>
  </w:style>
  <w:style w:type="paragraph" w:styleId="996">
    <w:name w:val="footnote text"/>
    <w:basedOn w:val="951"/>
    <w:link w:val="1035"/>
    <w:uiPriority w:val="0"/>
    <w:qFormat/>
    <w:pPr>
      <w:jc w:val="left"/>
    </w:pPr>
    <w:rPr>
      <w:rFonts w:eastAsia="楷体_GB2312"/>
      <w:sz w:val="18"/>
      <w:szCs w:val="20"/>
    </w:rPr>
  </w:style>
  <w:style w:type="paragraph" w:styleId="997">
    <w:name w:val="toc 6"/>
    <w:basedOn w:val="951"/>
    <w:next w:val="951"/>
    <w:uiPriority w:val="39"/>
    <w:qFormat/>
    <w:pPr>
      <w:ind w:left="2100"/>
    </w:pPr>
    <w:rPr>
      <w:rFonts w:eastAsia="楷体_GB2312"/>
      <w:sz w:val="26"/>
      <w:szCs w:val="20"/>
    </w:rPr>
  </w:style>
  <w:style w:type="paragraph" w:styleId="998">
    <w:name w:val="Body Text Indent 3"/>
    <w:basedOn w:val="951"/>
    <w:uiPriority w:val="0"/>
    <w:qFormat/>
    <w:pPr>
      <w:ind w:firstLine="480"/>
      <w:spacing w:line="360" w:lineRule="auto"/>
      <w:widowControl/>
    </w:pPr>
    <w:rPr>
      <w:sz w:val="24"/>
    </w:rPr>
  </w:style>
  <w:style w:type="paragraph" w:styleId="999">
    <w:name w:val="index 7"/>
    <w:basedOn w:val="951"/>
    <w:next w:val="951"/>
    <w:uiPriority w:val="0"/>
    <w:qFormat/>
    <w:pPr>
      <w:ind w:left="2520"/>
    </w:pPr>
    <w:rPr>
      <w:rFonts w:eastAsia="楷体_GB2312"/>
      <w:sz w:val="26"/>
      <w:szCs w:val="20"/>
    </w:rPr>
  </w:style>
  <w:style w:type="paragraph" w:styleId="1000">
    <w:name w:val="index 9"/>
    <w:basedOn w:val="951"/>
    <w:next w:val="951"/>
    <w:uiPriority w:val="0"/>
    <w:qFormat/>
    <w:pPr>
      <w:ind w:left="3360"/>
    </w:pPr>
    <w:rPr>
      <w:rFonts w:eastAsia="楷体_GB2312"/>
      <w:sz w:val="26"/>
      <w:szCs w:val="20"/>
    </w:rPr>
  </w:style>
  <w:style w:type="paragraph" w:styleId="1001">
    <w:name w:val="table of figures"/>
    <w:basedOn w:val="951"/>
    <w:next w:val="951"/>
    <w:uiPriority w:val="0"/>
    <w:qFormat/>
    <w:pPr>
      <w:ind w:left="420" w:hanging="420"/>
      <w:jc w:val="left"/>
    </w:pPr>
    <w:rPr>
      <w:rFonts w:eastAsia="楷体_GB2312"/>
      <w:smallCaps/>
      <w:sz w:val="24"/>
      <w:szCs w:val="20"/>
    </w:rPr>
  </w:style>
  <w:style w:type="paragraph" w:styleId="1002">
    <w:name w:val="toc 2"/>
    <w:basedOn w:val="951"/>
    <w:next w:val="951"/>
    <w:uiPriority w:val="39"/>
    <w:qFormat/>
    <w:pPr>
      <w:ind w:left="420"/>
      <w:spacing w:line="400" w:lineRule="exact"/>
      <w:tabs>
        <w:tab w:val="right" w:pos="9628" w:leader="dot"/>
      </w:tabs>
    </w:pPr>
    <w:rPr>
      <w:b/>
      <w:sz w:val="24"/>
      <w:szCs w:val="20"/>
    </w:rPr>
  </w:style>
  <w:style w:type="paragraph" w:styleId="1003">
    <w:name w:val="toc 9"/>
    <w:basedOn w:val="951"/>
    <w:next w:val="951"/>
    <w:uiPriority w:val="0"/>
    <w:qFormat/>
    <w:pPr>
      <w:ind w:left="3360"/>
    </w:pPr>
    <w:rPr>
      <w:rFonts w:eastAsia="楷体_GB2312"/>
      <w:sz w:val="26"/>
      <w:szCs w:val="20"/>
    </w:rPr>
  </w:style>
  <w:style w:type="paragraph" w:styleId="1004">
    <w:name w:val="Body Text 2"/>
    <w:basedOn w:val="951"/>
    <w:link w:val="1036"/>
    <w:uiPriority w:val="0"/>
    <w:qFormat/>
    <w:pPr>
      <w:spacing w:after="120" w:line="480" w:lineRule="auto"/>
    </w:pPr>
    <w:rPr>
      <w:rFonts w:eastAsia="楷体_GB2312"/>
      <w:sz w:val="26"/>
      <w:szCs w:val="20"/>
    </w:rPr>
  </w:style>
  <w:style w:type="paragraph" w:styleId="1005">
    <w:name w:val="HTML Preformatted"/>
    <w:basedOn w:val="951"/>
    <w:link w:val="103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6">
    <w:name w:val="Normal (Web)"/>
    <w:basedOn w:val="951"/>
    <w:uiPriority w:val="0"/>
    <w:qFormat/>
    <w:pPr>
      <w:jc w:val="left"/>
      <w:spacing w:before="100" w:beforeAutospacing="1" w:after="100" w:afterAutospacing="1"/>
      <w:widowControl/>
    </w:pPr>
    <w:rPr>
      <w:rFonts w:ascii="Arial Unicode MS" w:hAnsi="Arial Unicode MS" w:eastAsia="Times New Roman"/>
      <w:sz w:val="24"/>
    </w:rPr>
  </w:style>
  <w:style w:type="paragraph" w:styleId="1007">
    <w:name w:val="index 2"/>
    <w:basedOn w:val="951"/>
    <w:next w:val="951"/>
    <w:uiPriority w:val="0"/>
    <w:qFormat/>
    <w:pPr>
      <w:ind w:left="420"/>
    </w:pPr>
    <w:rPr>
      <w:rFonts w:eastAsia="楷体_GB2312"/>
      <w:sz w:val="26"/>
      <w:szCs w:val="20"/>
    </w:rPr>
  </w:style>
  <w:style w:type="paragraph" w:styleId="1008">
    <w:name w:val="Title"/>
    <w:basedOn w:val="951"/>
    <w:next w:val="951"/>
    <w:link w:val="1038"/>
    <w:uiPriority w:val="0"/>
    <w:qFormat/>
    <w:pPr>
      <w:jc w:val="center"/>
      <w:spacing w:before="240" w:after="60"/>
      <w:outlineLvl w:val="0"/>
    </w:pPr>
    <w:rPr>
      <w:rFonts w:ascii="等线 Light" w:hAnsi="等线 Light"/>
      <w:b/>
      <w:bCs/>
      <w:sz w:val="32"/>
      <w:szCs w:val="32"/>
    </w:rPr>
  </w:style>
  <w:style w:type="character" w:styleId="1009">
    <w:name w:val="Strong"/>
    <w:uiPriority w:val="0"/>
    <w:qFormat/>
    <w:rPr>
      <w:b/>
      <w:bCs/>
    </w:rPr>
  </w:style>
  <w:style w:type="character" w:styleId="1010">
    <w:name w:val="page number"/>
    <w:basedOn w:val="961"/>
    <w:uiPriority w:val="0"/>
    <w:qFormat/>
  </w:style>
  <w:style w:type="character" w:styleId="1011">
    <w:name w:val="FollowedHyperlink"/>
    <w:uiPriority w:val="99"/>
    <w:qFormat/>
    <w:rPr>
      <w:color w:val="333333"/>
      <w:u w:val="none"/>
    </w:rPr>
  </w:style>
  <w:style w:type="character" w:styleId="1012">
    <w:name w:val="Emphasis"/>
    <w:uiPriority w:val="0"/>
    <w:qFormat/>
    <w:rPr>
      <w:color w:val="cc0000"/>
    </w:rPr>
  </w:style>
  <w:style w:type="character" w:styleId="1013">
    <w:name w:val="Hyperlink"/>
    <w:uiPriority w:val="99"/>
    <w:qFormat/>
    <w:rPr>
      <w:color w:val="333333"/>
      <w:u w:val="none"/>
    </w:rPr>
  </w:style>
  <w:style w:type="character" w:styleId="1014">
    <w:name w:val="annotation reference"/>
    <w:uiPriority w:val="0"/>
    <w:qFormat/>
    <w:rPr>
      <w:sz w:val="21"/>
      <w:szCs w:val="21"/>
    </w:rPr>
  </w:style>
  <w:style w:type="character" w:styleId="1015">
    <w:name w:val="footnote reference"/>
    <w:uiPriority w:val="0"/>
    <w:qFormat/>
    <w:rPr>
      <w:vertAlign w:val="superscript"/>
    </w:rPr>
  </w:style>
  <w:style w:type="table" w:styleId="1016">
    <w:name w:val="Table Grid"/>
    <w:basedOn w:val="96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017">
    <w:name w:val="Table Classic 4"/>
    <w:basedOn w:val="962"/>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Layout w:type="fixed"/>
      <w:tblCellMar>
        <w:left w:w="108" w:type="dxa"/>
        <w:top w:w="0" w:type="dxa"/>
        <w:right w:w="108" w:type="dxa"/>
        <w:bottom w:w="0" w:type="dxa"/>
      </w:tblCellMar>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18" w:customStyle="1">
    <w:name w:val="正文首行缩进 21"/>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paragraph" w:styleId="1019" w:customStyle="1">
    <w:name w:val="首行缩进"/>
    <w:basedOn w:val="951"/>
    <w:uiPriority w:val="0"/>
    <w:qFormat/>
    <w:pPr>
      <w:ind w:firstLine="480"/>
      <w:jc w:val="left"/>
      <w:spacing w:line="360" w:lineRule="auto"/>
    </w:pPr>
    <w:rPr>
      <w:rFonts w:ascii="宋体" w:hAnsi="宋体"/>
      <w:sz w:val="24"/>
    </w:rPr>
  </w:style>
  <w:style w:type="paragraph" w:styleId="1020"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21" w:customStyle="1">
    <w:name w:val="正文文本缩进 Char"/>
    <w:link w:val="974"/>
    <w:uiPriority w:val="0"/>
    <w:qFormat/>
    <w:rPr>
      <w:sz w:val="28"/>
      <w:szCs w:val="24"/>
    </w:rPr>
  </w:style>
  <w:style w:type="character" w:styleId="1022" w:customStyle="1">
    <w:name w:val="标题 1 Char"/>
    <w:link w:val="952"/>
    <w:uiPriority w:val="0"/>
    <w:qFormat/>
    <w:rPr>
      <w:b/>
      <w:bCs/>
      <w:sz w:val="44"/>
      <w:szCs w:val="44"/>
    </w:rPr>
  </w:style>
  <w:style w:type="character" w:styleId="1023" w:customStyle="1">
    <w:name w:val="标题 2 Char"/>
    <w:link w:val="953"/>
    <w:uiPriority w:val="0"/>
    <w:qFormat/>
    <w:rPr>
      <w:rFonts w:ascii="Arial" w:hAnsi="Arial" w:eastAsia="黑体"/>
      <w:b/>
      <w:bCs/>
      <w:sz w:val="32"/>
      <w:szCs w:val="32"/>
    </w:rPr>
  </w:style>
  <w:style w:type="character" w:styleId="1024" w:customStyle="1">
    <w:name w:val="标题 5 Char"/>
    <w:link w:val="956"/>
    <w:uiPriority w:val="0"/>
    <w:qFormat/>
    <w:rPr>
      <w:rFonts w:ascii="宋体" w:hAnsi="Tms Rmn"/>
      <w:b/>
      <w:sz w:val="28"/>
    </w:rPr>
  </w:style>
  <w:style w:type="character" w:styleId="1025" w:customStyle="1">
    <w:name w:val="标题 6 Char"/>
    <w:link w:val="957"/>
    <w:uiPriority w:val="0"/>
    <w:qFormat/>
    <w:rPr>
      <w:rFonts w:ascii="黑体" w:hAnsi="Tms Rmn" w:eastAsia="黑体"/>
      <w:b/>
      <w:sz w:val="24"/>
    </w:rPr>
  </w:style>
  <w:style w:type="character" w:styleId="1026" w:customStyle="1">
    <w:name w:val="标题 7 Char"/>
    <w:link w:val="958"/>
    <w:uiPriority w:val="0"/>
    <w:qFormat/>
    <w:rPr>
      <w:rFonts w:ascii="宋体" w:hAnsi="Tms Rmn"/>
      <w:b/>
      <w:sz w:val="24"/>
    </w:rPr>
  </w:style>
  <w:style w:type="character" w:styleId="1027" w:customStyle="1">
    <w:name w:val="标题 8 Char"/>
    <w:link w:val="959"/>
    <w:uiPriority w:val="0"/>
    <w:qFormat/>
    <w:rPr>
      <w:rFonts w:ascii="Arial" w:hAnsi="Arial" w:eastAsia="黑体"/>
      <w:sz w:val="24"/>
      <w:szCs w:val="24"/>
    </w:rPr>
  </w:style>
  <w:style w:type="character" w:styleId="1028" w:customStyle="1">
    <w:name w:val="标题 9 Char"/>
    <w:link w:val="960"/>
    <w:uiPriority w:val="0"/>
    <w:qFormat/>
    <w:rPr>
      <w:rFonts w:ascii="Arial" w:hAnsi="Arial" w:eastAsia="黑体"/>
      <w:sz w:val="21"/>
      <w:szCs w:val="21"/>
    </w:rPr>
  </w:style>
  <w:style w:type="character" w:styleId="1029" w:customStyle="1">
    <w:name w:val="正文缩进 Char"/>
    <w:link w:val="963"/>
    <w:uiPriority w:val="0"/>
    <w:qFormat/>
    <w:rPr>
      <w:rFonts w:eastAsia="楷体_GB2312"/>
      <w:sz w:val="24"/>
      <w:lang w:val="en-US" w:eastAsia="zh-CN" w:bidi="ar-SA"/>
    </w:rPr>
  </w:style>
  <w:style w:type="character" w:styleId="1030" w:customStyle="1">
    <w:name w:val="批注文字 Char1"/>
    <w:link w:val="965"/>
    <w:uiPriority w:val="99"/>
    <w:qFormat/>
    <w:rPr>
      <w:sz w:val="21"/>
      <w:szCs w:val="24"/>
    </w:rPr>
  </w:style>
  <w:style w:type="character" w:styleId="1031" w:customStyle="1">
    <w:name w:val="正文文本 Char1"/>
    <w:link w:val="968"/>
    <w:uiPriority w:val="99"/>
    <w:qFormat/>
    <w:rPr>
      <w:sz w:val="28"/>
      <w:szCs w:val="24"/>
    </w:rPr>
  </w:style>
  <w:style w:type="character" w:styleId="1032" w:customStyle="1">
    <w:name w:val="纯文本 Char"/>
    <w:link w:val="980"/>
    <w:uiPriority w:val="0"/>
    <w:qFormat/>
    <w:rPr>
      <w:rFonts w:ascii="宋体" w:hAnsi="Courier New" w:eastAsia="楷体_GB2312"/>
      <w:sz w:val="28"/>
    </w:rPr>
  </w:style>
  <w:style w:type="character" w:styleId="1033" w:customStyle="1">
    <w:name w:val="日期 Char"/>
    <w:link w:val="983"/>
    <w:uiPriority w:val="99"/>
    <w:qFormat/>
    <w:rPr>
      <w:sz w:val="21"/>
    </w:rPr>
  </w:style>
  <w:style w:type="character" w:styleId="1034" w:customStyle="1">
    <w:name w:val="正文文本缩进 2 Char1"/>
    <w:link w:val="984"/>
    <w:uiPriority w:val="0"/>
    <w:qFormat/>
    <w:rPr>
      <w:rFonts w:ascii="宋体" w:hAnsi="宋体"/>
      <w:sz w:val="21"/>
      <w:szCs w:val="24"/>
    </w:rPr>
  </w:style>
  <w:style w:type="character" w:styleId="1035" w:customStyle="1">
    <w:name w:val="脚注文本 Char"/>
    <w:link w:val="996"/>
    <w:uiPriority w:val="0"/>
    <w:qFormat/>
    <w:rPr>
      <w:rFonts w:eastAsia="楷体_GB2312"/>
      <w:sz w:val="18"/>
    </w:rPr>
  </w:style>
  <w:style w:type="character" w:styleId="1036" w:customStyle="1">
    <w:name w:val="正文文本 2 Char"/>
    <w:link w:val="1004"/>
    <w:uiPriority w:val="0"/>
    <w:qFormat/>
    <w:rPr>
      <w:rFonts w:eastAsia="楷体_GB2312"/>
      <w:sz w:val="26"/>
    </w:rPr>
  </w:style>
  <w:style w:type="character" w:styleId="1037" w:customStyle="1">
    <w:name w:val="HTML 预设格式 Char"/>
    <w:link w:val="1005"/>
    <w:uiPriority w:val="99"/>
    <w:qFormat/>
    <w:rPr>
      <w:rFonts w:ascii="宋体" w:hAnsi="宋体" w:cs="宋体"/>
      <w:sz w:val="24"/>
      <w:szCs w:val="24"/>
    </w:rPr>
  </w:style>
  <w:style w:type="character" w:styleId="1038" w:customStyle="1">
    <w:name w:val="标题 Char1"/>
    <w:link w:val="1008"/>
    <w:uiPriority w:val="0"/>
    <w:qFormat/>
    <w:rPr>
      <w:rFonts w:ascii="等线 Light" w:hAnsi="等线 Light"/>
      <w:b/>
      <w:bCs/>
      <w:sz w:val="32"/>
      <w:szCs w:val="32"/>
    </w:rPr>
  </w:style>
  <w:style w:type="character" w:styleId="1039" w:customStyle="1">
    <w:name w:val="正文首行缩进 Char"/>
    <w:link w:val="967"/>
    <w:uiPriority w:val="0"/>
    <w:qFormat/>
    <w:rPr>
      <w:rFonts w:eastAsia="楷体_GB2312"/>
      <w:sz w:val="26"/>
      <w:szCs w:val="24"/>
    </w:rPr>
  </w:style>
  <w:style w:type="character" w:styleId="1040" w:customStyle="1">
    <w:name w:val="正文缩进 字符"/>
    <w:uiPriority w:val="0"/>
    <w:qFormat/>
    <w:rPr>
      <w:rFonts w:eastAsia="楷体_GB2312"/>
      <w:sz w:val="24"/>
      <w:lang w:val="en-US" w:eastAsia="zh-CN" w:bidi="ar-SA"/>
    </w:rPr>
  </w:style>
  <w:style w:type="character" w:styleId="1041" w:customStyle="1">
    <w:name w:val="Char Char4"/>
    <w:uiPriority w:val="0"/>
    <w:qFormat/>
    <w:rPr>
      <w:b/>
      <w:bCs/>
      <w:sz w:val="21"/>
      <w:szCs w:val="24"/>
    </w:rPr>
  </w:style>
  <w:style w:type="character" w:styleId="1042" w:customStyle="1">
    <w:name w:val="Char Char"/>
    <w:uiPriority w:val="0"/>
    <w:qFormat/>
    <w:rPr>
      <w:sz w:val="18"/>
      <w:szCs w:val="18"/>
    </w:rPr>
  </w:style>
  <w:style w:type="character" w:styleId="1043" w:customStyle="1">
    <w:name w:val="Andy_2级 Char"/>
    <w:link w:val="1044"/>
    <w:uiPriority w:val="0"/>
    <w:qFormat/>
    <w:rPr>
      <w:rFonts w:ascii="Calibri" w:hAnsi="Calibri"/>
      <w:sz w:val="24"/>
    </w:rPr>
  </w:style>
  <w:style w:type="paragraph" w:styleId="1044" w:customStyle="1">
    <w:name w:val="Andy_2级"/>
    <w:basedOn w:val="1045"/>
    <w:link w:val="1043"/>
    <w:uiPriority w:val="0"/>
    <w:qFormat/>
    <w:pPr>
      <w:ind w:firstLine="510"/>
    </w:pPr>
    <w:rPr>
      <w:szCs w:val="20"/>
    </w:rPr>
  </w:style>
  <w:style w:type="paragraph" w:styleId="1045" w:customStyle="1">
    <w:name w:val="Andy_二级"/>
    <w:basedOn w:val="951"/>
    <w:uiPriority w:val="0"/>
    <w:qFormat/>
    <w:pPr>
      <w:numPr>
        <w:ilvl w:val="1"/>
        <w:numId w:val="2"/>
      </w:numPr>
      <w:ind w:left="0" w:firstLine="0"/>
      <w:spacing w:line="360" w:lineRule="auto"/>
    </w:pPr>
    <w:rPr>
      <w:sz w:val="24"/>
      <w:szCs w:val="22"/>
    </w:rPr>
  </w:style>
  <w:style w:type="character" w:styleId="1046" w:customStyle="1">
    <w:name w:val="批注文字 Char"/>
    <w:uiPriority w:val="0"/>
    <w:qFormat/>
    <w:rPr>
      <w:rFonts w:eastAsia="楷体_GB2312"/>
      <w:sz w:val="26"/>
    </w:rPr>
  </w:style>
  <w:style w:type="character" w:styleId="1047" w:customStyle="1">
    <w:name w:val="标题 Char2"/>
    <w:uiPriority w:val="0"/>
    <w:qFormat/>
    <w:rPr>
      <w:rFonts w:ascii="Cambria" w:hAnsi="Cambria" w:cs="Times New Roman"/>
      <w:b/>
      <w:bCs/>
      <w:sz w:val="32"/>
      <w:szCs w:val="32"/>
    </w:rPr>
  </w:style>
  <w:style w:type="character" w:styleId="1048" w:customStyle="1">
    <w:name w:val="Char Char5"/>
    <w:uiPriority w:val="0"/>
    <w:qFormat/>
    <w:rPr>
      <w:rFonts w:eastAsia="楷体_GB2312"/>
      <w:sz w:val="24"/>
    </w:rPr>
  </w:style>
  <w:style w:type="character" w:styleId="1049" w:customStyle="1">
    <w:name w:val="a-size-large1"/>
    <w:uiPriority w:val="0"/>
    <w:qFormat/>
    <w:rPr>
      <w:rFonts w:hint="default" w:ascii="Arial" w:hAnsi="Arial" w:cs="Arial"/>
    </w:rPr>
  </w:style>
  <w:style w:type="character" w:styleId="1050" w:customStyle="1">
    <w:name w:val="CL 正文1.25 Char"/>
    <w:link w:val="1051"/>
    <w:uiPriority w:val="0"/>
    <w:qFormat/>
    <w:rPr>
      <w:rFonts w:ascii="Cambria" w:hAnsi="Cambria"/>
      <w:spacing w:val="4"/>
      <w:sz w:val="24"/>
      <w:szCs w:val="21"/>
    </w:rPr>
  </w:style>
  <w:style w:type="paragraph" w:styleId="1051" w:customStyle="1">
    <w:name w:val="CL 正文1.25"/>
    <w:basedOn w:val="951"/>
    <w:link w:val="1050"/>
    <w:uiPriority w:val="0"/>
    <w:qFormat/>
    <w:pPr>
      <w:ind w:firstLine="200"/>
      <w:spacing w:line="360" w:lineRule="auto"/>
    </w:pPr>
    <w:rPr>
      <w:rFonts w:ascii="Cambria" w:hAnsi="Cambria"/>
      <w:spacing w:val="4"/>
      <w:sz w:val="24"/>
      <w:szCs w:val="21"/>
    </w:rPr>
  </w:style>
  <w:style w:type="character" w:styleId="1052" w:customStyle="1">
    <w:name w:val="正文文本缩进 2 Char"/>
    <w:uiPriority w:val="0"/>
    <w:qFormat/>
    <w:rPr>
      <w:rFonts w:ascii="宋体"/>
      <w:b/>
      <w:bCs/>
      <w:sz w:val="24"/>
    </w:rPr>
  </w:style>
  <w:style w:type="character" w:styleId="1053" w:customStyle="1">
    <w:name w:val="样式 首行缩进:  2 字符 Char"/>
    <w:link w:val="1054"/>
    <w:uiPriority w:val="0"/>
    <w:qFormat/>
    <w:rPr>
      <w:rFonts w:eastAsia="仿宋_GB2312"/>
      <w:sz w:val="24"/>
    </w:rPr>
  </w:style>
  <w:style w:type="paragraph" w:styleId="1054" w:customStyle="1">
    <w:name w:val="样式 首行缩进:  2 字符"/>
    <w:basedOn w:val="951"/>
    <w:link w:val="1053"/>
    <w:uiPriority w:val="0"/>
    <w:qFormat/>
    <w:pPr>
      <w:ind w:firstLine="560"/>
      <w:spacing w:line="360" w:lineRule="auto"/>
    </w:pPr>
    <w:rPr>
      <w:rFonts w:eastAsia="仿宋_GB2312"/>
      <w:sz w:val="24"/>
      <w:szCs w:val="20"/>
    </w:rPr>
  </w:style>
  <w:style w:type="character" w:styleId="1055" w:customStyle="1">
    <w:name w:val="正文缩进 Char2"/>
    <w:uiPriority w:val="0"/>
    <w:qFormat/>
    <w:rPr>
      <w:rFonts w:eastAsia="楷体_GB2312"/>
      <w:sz w:val="24"/>
      <w:lang w:val="en-US" w:eastAsia="zh-CN" w:bidi="ar-SA"/>
    </w:rPr>
  </w:style>
  <w:style w:type="character" w:styleId="1056" w:customStyle="1">
    <w:name w:val="列出段落 Char"/>
    <w:uiPriority w:val="34"/>
    <w:qFormat/>
    <w:rPr>
      <w:rFonts w:ascii="Calibri" w:hAnsi="Calibri" w:eastAsia="宋体"/>
      <w:sz w:val="22"/>
      <w:lang w:bidi="ar-SA"/>
    </w:rPr>
  </w:style>
  <w:style w:type="character" w:styleId="1057" w:customStyle="1">
    <w:name w:val="ca-221"/>
    <w:uiPriority w:val="0"/>
    <w:qFormat/>
    <w:rPr>
      <w:rFonts w:hint="eastAsia" w:ascii="宋体" w:hAnsi="宋体" w:eastAsia="宋体"/>
      <w:color w:val="ff0000"/>
      <w:sz w:val="24"/>
      <w:szCs w:val="24"/>
    </w:rPr>
  </w:style>
  <w:style w:type="character" w:styleId="1058" w:customStyle="1">
    <w:name w:val="纯文本 Char1"/>
    <w:uiPriority w:val="99"/>
    <w:qFormat/>
    <w:rPr>
      <w:rFonts w:ascii="宋体" w:hAnsi="Courier New" w:eastAsia="楷体_GB2312"/>
      <w:sz w:val="26"/>
      <w:szCs w:val="24"/>
    </w:rPr>
  </w:style>
  <w:style w:type="character" w:styleId="1059" w:customStyle="1">
    <w:name w:val="标题 Char"/>
    <w:uiPriority w:val="0"/>
    <w:qFormat/>
    <w:rPr>
      <w:rFonts w:ascii="Cambria" w:hAnsi="Cambria" w:cs="Times New Roman"/>
      <w:b/>
      <w:bCs/>
      <w:sz w:val="32"/>
      <w:szCs w:val="32"/>
    </w:rPr>
  </w:style>
  <w:style w:type="character" w:styleId="1060" w:customStyle="1">
    <w:name w:val="批注文字 字符"/>
    <w:uiPriority w:val="0"/>
    <w:qFormat/>
    <w:rPr>
      <w:sz w:val="21"/>
      <w:szCs w:val="24"/>
    </w:rPr>
  </w:style>
  <w:style w:type="character" w:styleId="1061" w:customStyle="1">
    <w:name w:val="para1"/>
    <w:uiPriority w:val="0"/>
    <w:qFormat/>
    <w:rPr>
      <w:rFonts w:hint="default" w:ascii="Arial" w:hAnsi="Arial" w:cs="Arial"/>
      <w:sz w:val="18"/>
      <w:szCs w:val="18"/>
    </w:rPr>
  </w:style>
  <w:style w:type="character" w:styleId="1062" w:customStyle="1">
    <w:name w:val="中等深浅网格 1 - 着色 2 字符"/>
    <w:link w:val="1063"/>
    <w:uiPriority w:val="34"/>
    <w:qFormat/>
    <w:rPr>
      <w:sz w:val="21"/>
      <w:szCs w:val="24"/>
    </w:rPr>
  </w:style>
  <w:style w:type="paragraph" w:styleId="1063" w:customStyle="1">
    <w:name w:val="中等深浅网格 1 - 着色 21"/>
    <w:basedOn w:val="951"/>
    <w:link w:val="1062"/>
    <w:uiPriority w:val="34"/>
    <w:qFormat/>
    <w:pPr>
      <w:ind w:firstLine="420"/>
      <w:jc w:val="left"/>
      <w:spacing w:line="360" w:lineRule="auto"/>
    </w:pPr>
  </w:style>
  <w:style w:type="character" w:styleId="1064" w:customStyle="1">
    <w:name w:val="title_emph1"/>
    <w:uiPriority w:val="0"/>
    <w:qFormat/>
    <w:rPr>
      <w:rFonts w:hint="default" w:ascii="Arial" w:hAnsi="Arial" w:cs="Arial"/>
      <w:b/>
      <w:bCs/>
      <w:sz w:val="20"/>
      <w:szCs w:val="20"/>
    </w:rPr>
  </w:style>
  <w:style w:type="character" w:styleId="1065" w:customStyle="1">
    <w:name w:val="正文文本 Char"/>
    <w:uiPriority w:val="0"/>
    <w:qFormat/>
    <w:rPr>
      <w:rFonts w:ascii="楷体_GB2312" w:eastAsia="楷体_GB2312"/>
      <w:sz w:val="28"/>
      <w:lang w:val="en-US" w:eastAsia="zh-CN" w:bidi="ar-SA"/>
    </w:rPr>
  </w:style>
  <w:style w:type="character" w:styleId="1066" w:customStyle="1">
    <w:name w:val="Char Char3"/>
    <w:uiPriority w:val="0"/>
    <w:qFormat/>
    <w:rPr>
      <w:sz w:val="21"/>
      <w:szCs w:val="24"/>
    </w:rPr>
  </w:style>
  <w:style w:type="character" w:styleId="1067" w:customStyle="1">
    <w:name w:val="Char Char2"/>
    <w:uiPriority w:val="0"/>
    <w:qFormat/>
    <w:rPr>
      <w:rFonts w:ascii="宋体" w:hAnsi="宋体" w:eastAsia="宋体"/>
      <w:sz w:val="21"/>
      <w:szCs w:val="24"/>
      <w:lang w:val="en-US" w:eastAsia="zh-CN" w:bidi="ar-SA"/>
    </w:rPr>
  </w:style>
  <w:style w:type="character" w:styleId="1068" w:customStyle="1">
    <w:name w:val="Plain Text Char"/>
    <w:link w:val="1069"/>
    <w:uiPriority w:val="0"/>
    <w:qFormat/>
    <w:rPr>
      <w:rFonts w:ascii="宋体" w:hAnsi="Courier New" w:eastAsia="楷体_GB2312"/>
      <w:sz w:val="26"/>
    </w:rPr>
  </w:style>
  <w:style w:type="paragraph" w:styleId="1069" w:customStyle="1">
    <w:name w:val="纯文本5"/>
    <w:basedOn w:val="951"/>
    <w:link w:val="1068"/>
    <w:uiPriority w:val="0"/>
    <w:qFormat/>
    <w:rPr>
      <w:rFonts w:ascii="宋体" w:hAnsi="Courier New" w:eastAsia="楷体_GB2312"/>
      <w:sz w:val="26"/>
      <w:szCs w:val="20"/>
    </w:rPr>
  </w:style>
  <w:style w:type="character" w:styleId="1070" w:customStyle="1">
    <w:name w:val="Andy_3级 Char"/>
    <w:link w:val="1071"/>
    <w:uiPriority w:val="0"/>
    <w:qFormat/>
    <w:rPr>
      <w:rFonts w:ascii="Calibri" w:hAnsi="Calibri"/>
      <w:sz w:val="24"/>
    </w:rPr>
  </w:style>
  <w:style w:type="paragraph" w:styleId="1071" w:customStyle="1">
    <w:name w:val="Andy_3级"/>
    <w:basedOn w:val="951"/>
    <w:link w:val="1070"/>
    <w:uiPriority w:val="0"/>
    <w:qFormat/>
    <w:pPr>
      <w:numPr>
        <w:ilvl w:val="2"/>
        <w:numId w:val="2"/>
      </w:numPr>
      <w:spacing w:line="360" w:lineRule="auto"/>
    </w:pPr>
    <w:rPr>
      <w:sz w:val="24"/>
      <w:szCs w:val="20"/>
    </w:rPr>
  </w:style>
  <w:style w:type="character" w:styleId="1072" w:customStyle="1">
    <w:name w:val="_正文段落 Char"/>
    <w:link w:val="1073"/>
    <w:uiPriority w:val="0"/>
    <w:qFormat/>
    <w:rPr>
      <w:sz w:val="24"/>
      <w:szCs w:val="24"/>
    </w:rPr>
  </w:style>
  <w:style w:type="paragraph" w:styleId="1073" w:customStyle="1">
    <w:name w:val="_正文段落"/>
    <w:basedOn w:val="951"/>
    <w:link w:val="1072"/>
    <w:uiPriority w:val="0"/>
    <w:qFormat/>
    <w:pPr>
      <w:ind w:firstLine="200"/>
      <w:spacing w:line="360" w:lineRule="auto"/>
    </w:pPr>
    <w:rPr>
      <w:sz w:val="24"/>
    </w:rPr>
  </w:style>
  <w:style w:type="character" w:styleId="1074" w:customStyle="1">
    <w:name w:val="正 文 1 Char"/>
    <w:uiPriority w:val="0"/>
    <w:qFormat/>
    <w:rPr>
      <w:rFonts w:ascii="宋体" w:hAnsi="Courier New" w:eastAsia="楷体_GB2312"/>
      <w:sz w:val="28"/>
      <w:lang w:val="en-US" w:eastAsia="zh-CN" w:bidi="ar-SA"/>
    </w:rPr>
  </w:style>
  <w:style w:type="character" w:styleId="1075" w:customStyle="1">
    <w:name w:val="Char Char7"/>
    <w:uiPriority w:val="0"/>
    <w:qFormat/>
    <w:rPr>
      <w:b/>
      <w:bCs/>
      <w:sz w:val="32"/>
      <w:szCs w:val="32"/>
    </w:rPr>
  </w:style>
  <w:style w:type="character" w:styleId="1076" w:customStyle="1">
    <w:name w:val="标题 1 字符"/>
    <w:uiPriority w:val="9"/>
    <w:qFormat/>
    <w:rPr>
      <w:rFonts w:eastAsia="楷体_GB2312"/>
      <w:b/>
      <w:sz w:val="44"/>
    </w:rPr>
  </w:style>
  <w:style w:type="character" w:styleId="1077" w:customStyle="1">
    <w:name w:val="正文首行缩进 Char Char"/>
    <w:link w:val="1078"/>
    <w:uiPriority w:val="0"/>
    <w:qFormat/>
    <w:rPr>
      <w:szCs w:val="24"/>
    </w:rPr>
  </w:style>
  <w:style w:type="paragraph" w:styleId="1078" w:customStyle="1">
    <w:name w:val="正文首行缩进1"/>
    <w:basedOn w:val="968"/>
    <w:link w:val="1077"/>
    <w:uiPriority w:val="0"/>
    <w:qFormat/>
    <w:pPr>
      <w:ind w:firstLine="420"/>
      <w:spacing w:after="120"/>
      <w:tabs>
        <w:tab w:val="clear" w:pos="5250" w:leader="none"/>
      </w:tabs>
    </w:pPr>
    <w:rPr>
      <w:sz w:val="20"/>
    </w:rPr>
  </w:style>
  <w:style w:type="character" w:styleId="1079" w:customStyle="1">
    <w:name w:val="Plain Text Char Char"/>
    <w:uiPriority w:val="0"/>
    <w:qFormat/>
    <w:rPr>
      <w:rFonts w:ascii="宋体" w:hAnsi="Courier New" w:eastAsia="楷体_GB2312"/>
      <w:sz w:val="28"/>
    </w:rPr>
  </w:style>
  <w:style w:type="character" w:styleId="1080" w:customStyle="1">
    <w:name w:val="Char Char6"/>
    <w:uiPriority w:val="0"/>
    <w:qFormat/>
    <w:rPr>
      <w:rFonts w:ascii="Arial" w:hAnsi="Arial" w:eastAsia="黑体"/>
      <w:b/>
      <w:bCs/>
      <w:sz w:val="28"/>
      <w:szCs w:val="28"/>
      <w:lang w:val="en-US" w:eastAsia="zh-CN" w:bidi="ar-SA"/>
    </w:rPr>
  </w:style>
  <w:style w:type="character" w:styleId="1081" w:customStyle="1">
    <w:name w:val="Andy_正文 Char"/>
    <w:link w:val="1082"/>
    <w:uiPriority w:val="0"/>
    <w:qFormat/>
    <w:rPr>
      <w:rFonts w:ascii="Calibri" w:hAnsi="Calibri"/>
      <w:sz w:val="24"/>
      <w:szCs w:val="24"/>
    </w:rPr>
  </w:style>
  <w:style w:type="paragraph" w:styleId="1082" w:customStyle="1">
    <w:name w:val="Andy_正文"/>
    <w:basedOn w:val="951"/>
    <w:link w:val="1081"/>
    <w:uiPriority w:val="0"/>
    <w:qFormat/>
    <w:pPr>
      <w:ind w:firstLine="480"/>
      <w:spacing w:line="360" w:lineRule="auto"/>
    </w:pPr>
    <w:rPr>
      <w:sz w:val="24"/>
    </w:rPr>
  </w:style>
  <w:style w:type="character" w:styleId="1083" w:customStyle="1">
    <w:name w:val="正文缩进 Char1"/>
    <w:uiPriority w:val="0"/>
    <w:qFormat/>
    <w:rPr>
      <w:rFonts w:ascii="Times New Roman" w:hAnsi="Times New Roman" w:eastAsia="楷体_GB2312" w:cs="Times New Roman"/>
      <w:sz w:val="24"/>
      <w:szCs w:val="20"/>
    </w:rPr>
  </w:style>
  <w:style w:type="paragraph" w:styleId="1084" w:customStyle="1">
    <w:name w:val="xl65"/>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5" w:customStyle="1">
    <w:name w:val="xl64"/>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86" w:customStyle="1">
    <w:name w:val="Char Char Char"/>
    <w:basedOn w:val="951"/>
    <w:uiPriority w:val="0"/>
    <w:qFormat/>
    <w:rPr>
      <w:rFonts w:ascii="Tahoma" w:hAnsi="Tahoma"/>
      <w:sz w:val="24"/>
      <w:szCs w:val="20"/>
    </w:rPr>
  </w:style>
  <w:style w:type="paragraph" w:styleId="1087" w:customStyle="1">
    <w:name w:val="xl53"/>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8" w:customStyle="1">
    <w:name w:val="表格正文 居中"/>
    <w:basedOn w:val="951"/>
    <w:uiPriority w:val="0"/>
    <w:qFormat/>
    <w:pPr>
      <w:jc w:val="center"/>
    </w:pPr>
    <w:rPr>
      <w:rFonts w:ascii="宋体" w:hAnsi="宋体" w:cs="宋体"/>
      <w:szCs w:val="20"/>
    </w:rPr>
  </w:style>
  <w:style w:type="paragraph" w:styleId="1089" w:customStyle="1">
    <w:name w:val="xl5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0" w:customStyle="1">
    <w:name w:val="p17"/>
    <w:basedOn w:val="951"/>
    <w:uiPriority w:val="0"/>
    <w:qFormat/>
    <w:pPr>
      <w:ind w:firstLine="420"/>
    </w:pPr>
    <w:rPr>
      <w:rFonts w:ascii="Times New Roman" w:hAnsi="Times New Roman" w:cs="黑体"/>
      <w:b/>
      <w:bCs/>
      <w:sz w:val="28"/>
      <w:szCs w:val="28"/>
    </w:rPr>
  </w:style>
  <w:style w:type="paragraph" w:styleId="1091" w:customStyle="1">
    <w:name w:val="小四 段落 宋体 Char Char Char Char Char Char"/>
    <w:basedOn w:val="1092"/>
    <w:uiPriority w:val="0"/>
    <w:qFormat/>
    <w:pPr>
      <w:ind w:firstLine="480"/>
    </w:pPr>
    <w:rPr>
      <w:rFonts w:ascii="宋体" w:hAnsi="宋体"/>
    </w:rPr>
  </w:style>
  <w:style w:type="paragraph" w:styleId="1092" w:customStyle="1">
    <w:name w:val="小四 段落 宋体 Char Char Char Char Char Char Char"/>
    <w:basedOn w:val="970"/>
    <w:uiPriority w:val="0"/>
    <w:semiHidden/>
    <w:qFormat/>
    <w:pPr>
      <w:ind w:left="0" w:right="-33" w:firstLine="545"/>
      <w:jc w:val="left"/>
      <w:spacing w:line="360" w:lineRule="auto"/>
      <w:tabs>
        <w:tab w:val="clear" w:pos="1125" w:leader="none"/>
      </w:tabs>
    </w:pPr>
    <w:rPr>
      <w:sz w:val="24"/>
    </w:rPr>
  </w:style>
  <w:style w:type="paragraph" w:styleId="1093" w:customStyle="1">
    <w:name w:val="xl51"/>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94" w:customStyle="1">
    <w:name w:val="Char Char4 Char"/>
    <w:basedOn w:val="951"/>
    <w:uiPriority w:val="0"/>
    <w:qFormat/>
    <w:rPr>
      <w:rFonts w:ascii="Tahoma" w:hAnsi="Tahoma"/>
      <w:sz w:val="24"/>
      <w:szCs w:val="20"/>
    </w:rPr>
  </w:style>
  <w:style w:type="paragraph" w:styleId="1095" w:customStyle="1">
    <w:name w:val="Default Paragraph Font Para Char"/>
    <w:basedOn w:val="951"/>
    <w:uiPriority w:val="0"/>
    <w:semiHidden/>
    <w:qFormat/>
    <w:pPr>
      <w:jc w:val="left"/>
      <w:spacing w:after="160" w:line="240" w:lineRule="exact"/>
      <w:widowControl/>
    </w:pPr>
    <w:rPr>
      <w:rFonts w:ascii="Verdana" w:hAnsi="Verdana"/>
      <w:sz w:val="20"/>
      <w:szCs w:val="20"/>
      <w:lang w:eastAsia="en-US"/>
    </w:rPr>
  </w:style>
  <w:style w:type="paragraph" w:styleId="1096" w:customStyle="1">
    <w:name w:val="xl57"/>
    <w:basedOn w:val="95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7" w:customStyle="1">
    <w:name w:val="列出段落1"/>
    <w:basedOn w:val="951"/>
    <w:uiPriority w:val="0"/>
    <w:qFormat/>
    <w:pPr>
      <w:ind w:firstLine="200"/>
      <w:spacing w:line="360" w:lineRule="auto"/>
    </w:pPr>
    <w:rPr>
      <w:sz w:val="22"/>
      <w:szCs w:val="20"/>
    </w:rPr>
  </w:style>
  <w:style w:type="paragraph" w:styleId="1098" w:customStyle="1">
    <w:name w:val="Andy_一级"/>
    <w:basedOn w:val="951"/>
    <w:uiPriority w:val="0"/>
    <w:qFormat/>
    <w:pPr>
      <w:numPr>
        <w:ilvl w:val="0"/>
        <w:numId w:val="2"/>
      </w:numPr>
      <w:ind w:left="420" w:hanging="420"/>
      <w:keepNext/>
      <w:spacing w:line="360" w:lineRule="auto"/>
      <w:tabs>
        <w:tab w:val="left" w:pos="420" w:leader="none"/>
      </w:tabs>
    </w:pPr>
    <w:rPr>
      <w:b/>
      <w:sz w:val="24"/>
      <w:szCs w:val="22"/>
    </w:rPr>
  </w:style>
  <w:style w:type="paragraph" w:styleId="1099" w:customStyle="1">
    <w:name w:val="cardlist-value"/>
    <w:basedOn w:val="951"/>
    <w:uiPriority w:val="0"/>
    <w:qFormat/>
    <w:pPr>
      <w:jc w:val="left"/>
      <w:spacing w:before="100" w:beforeAutospacing="1" w:after="100" w:afterAutospacing="1"/>
      <w:widowControl/>
    </w:pPr>
    <w:rPr>
      <w:rFonts w:ascii="宋体" w:hAnsi="宋体" w:cs="宋体"/>
      <w:sz w:val="24"/>
    </w:rPr>
  </w:style>
  <w:style w:type="paragraph" w:styleId="1100" w:customStyle="1">
    <w:name w:val="Plain Text1"/>
    <w:basedOn w:val="951"/>
    <w:uiPriority w:val="0"/>
    <w:qFormat/>
    <w:rPr>
      <w:rFonts w:ascii="宋体" w:hAnsi="Courier New" w:eastAsia="楷体_GB2312"/>
      <w:sz w:val="26"/>
      <w:szCs w:val="20"/>
    </w:rPr>
  </w:style>
  <w:style w:type="paragraph" w:styleId="1101" w:customStyle="1">
    <w:name w:val="xl45"/>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2" w:customStyle="1">
    <w:name w:val="小四 段落 宋体 Char"/>
    <w:basedOn w:val="970"/>
    <w:uiPriority w:val="0"/>
    <w:qFormat/>
    <w:pPr>
      <w:ind w:left="0" w:right="-33" w:firstLine="480"/>
      <w:jc w:val="left"/>
      <w:spacing w:line="360" w:lineRule="auto"/>
      <w:tabs>
        <w:tab w:val="clear" w:pos="1125" w:leader="none"/>
      </w:tabs>
    </w:pPr>
    <w:rPr>
      <w:sz w:val="24"/>
    </w:rPr>
  </w:style>
  <w:style w:type="paragraph" w:styleId="1103" w:customStyle="1">
    <w:name w:val="表格1"/>
    <w:basedOn w:val="951"/>
    <w:next w:val="951"/>
    <w:uiPriority w:val="0"/>
    <w:qFormat/>
    <w:pPr>
      <w:jc w:val="center"/>
      <w:spacing w:line="288" w:lineRule="auto"/>
    </w:pPr>
    <w:rPr>
      <w:rFonts w:ascii="宋体"/>
      <w:sz w:val="18"/>
      <w:szCs w:val="20"/>
    </w:rPr>
  </w:style>
  <w:style w:type="paragraph" w:styleId="1104" w:customStyle="1">
    <w:name w:val="表格正文"/>
    <w:basedOn w:val="951"/>
    <w:uiPriority w:val="0"/>
    <w:qFormat/>
    <w:pPr>
      <w:jc w:val="left"/>
    </w:pPr>
    <w:rPr>
      <w:rFonts w:ascii="宋体" w:hAnsi="宋体" w:cs="宋体"/>
      <w:color w:val="000000"/>
      <w:sz w:val="22"/>
      <w:szCs w:val="20"/>
    </w:rPr>
  </w:style>
  <w:style w:type="paragraph" w:styleId="1105" w:customStyle="1">
    <w:name w:val="xl61"/>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06" w:customStyle="1">
    <w:name w:val="xl58"/>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7" w:customStyle="1">
    <w:name w:val="xl60"/>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8" w:customStyle="1">
    <w:name w:val="xl54"/>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9" w:customStyle="1">
    <w:name w:val="p0"/>
    <w:basedOn w:val="951"/>
    <w:uiPriority w:val="0"/>
    <w:qFormat/>
    <w:pPr>
      <w:widowControl/>
    </w:pPr>
    <w:rPr>
      <w:sz w:val="26"/>
      <w:szCs w:val="26"/>
    </w:rPr>
  </w:style>
  <w:style w:type="paragraph" w:styleId="1110" w:customStyle="1">
    <w:name w:val="xl50"/>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1" w:customStyle="1">
    <w:name w:val="Char Char Char1"/>
    <w:basedOn w:val="951"/>
    <w:uiPriority w:val="0"/>
    <w:qFormat/>
    <w:rPr>
      <w:rFonts w:ascii="Tahoma" w:hAnsi="Tahoma"/>
      <w:sz w:val="24"/>
      <w:szCs w:val="20"/>
    </w:rPr>
  </w:style>
  <w:style w:type="paragraph" w:styleId="1112" w:customStyle="1">
    <w:name w:val="纯文本3"/>
    <w:basedOn w:val="951"/>
    <w:uiPriority w:val="0"/>
    <w:qFormat/>
    <w:rPr>
      <w:rFonts w:ascii="宋体" w:hAnsi="Courier New" w:eastAsia="楷体_GB2312"/>
      <w:sz w:val="26"/>
      <w:szCs w:val="20"/>
    </w:rPr>
  </w:style>
  <w:style w:type="paragraph" w:styleId="1113" w:customStyle="1">
    <w:name w:val="Andy_4级"/>
    <w:basedOn w:val="951"/>
    <w:uiPriority w:val="0"/>
    <w:qFormat/>
    <w:pPr>
      <w:numPr>
        <w:ilvl w:val="3"/>
        <w:numId w:val="2"/>
      </w:numPr>
      <w:ind w:left="420" w:firstLine="510"/>
      <w:spacing w:line="360" w:lineRule="auto"/>
      <w:tabs>
        <w:tab w:val="left" w:pos="420" w:leader="none"/>
      </w:tabs>
    </w:pPr>
    <w:rPr>
      <w:sz w:val="24"/>
      <w:szCs w:val="20"/>
    </w:rPr>
  </w:style>
  <w:style w:type="paragraph" w:styleId="1114" w:customStyle="1">
    <w:name w:val="xl62"/>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15" w:customStyle="1">
    <w:name w:val="font6"/>
    <w:basedOn w:val="951"/>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116" w:customStyle="1">
    <w:name w:val="QB正文"/>
    <w:basedOn w:val="951"/>
    <w:uiPriority w:val="0"/>
    <w:qFormat/>
    <w:pPr>
      <w:ind w:firstLine="200"/>
      <w:widowControl/>
    </w:pPr>
    <w:rPr>
      <w:rFonts w:ascii="宋体" w:hAnsi="宋体"/>
      <w:szCs w:val="20"/>
    </w:rPr>
  </w:style>
  <w:style w:type="paragraph" w:styleId="1117" w:customStyle="1">
    <w:name w:val="列表内容"/>
    <w:basedOn w:val="951"/>
    <w:next w:val="951"/>
    <w:uiPriority w:val="0"/>
    <w:qFormat/>
    <w:pPr>
      <w:numPr>
        <w:ilvl w:val="0"/>
        <w:numId w:val="3"/>
      </w:numPr>
      <w:jc w:val="left"/>
      <w:widowControl/>
    </w:pPr>
    <w:rPr>
      <w:sz w:val="18"/>
    </w:rPr>
  </w:style>
  <w:style w:type="paragraph" w:styleId="1118" w:customStyle="1">
    <w:name w:val="font5"/>
    <w:basedOn w:val="951"/>
    <w:uiPriority w:val="0"/>
    <w:qFormat/>
    <w:pPr>
      <w:jc w:val="left"/>
      <w:spacing w:before="100" w:beforeAutospacing="1" w:after="100" w:afterAutospacing="1"/>
      <w:widowControl/>
    </w:pPr>
    <w:rPr>
      <w:rFonts w:hint="eastAsia" w:ascii="宋体" w:hAnsi="宋体"/>
      <w:sz w:val="18"/>
      <w:szCs w:val="18"/>
    </w:rPr>
  </w:style>
  <w:style w:type="paragraph" w:styleId="1119" w:customStyle="1">
    <w:name w:val="xl46"/>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0" w:customStyle="1">
    <w:name w:val="xl6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1" w:customStyle="1">
    <w:name w:val="_Style 18"/>
    <w:basedOn w:val="951"/>
    <w:uiPriority w:val="0"/>
    <w:qFormat/>
    <w:rPr>
      <w:rFonts w:ascii="Tahoma" w:hAnsi="Tahoma"/>
      <w:sz w:val="24"/>
      <w:szCs w:val="20"/>
    </w:rPr>
  </w:style>
  <w:style w:type="paragraph" w:styleId="1122" w:customStyle="1">
    <w:name w:val="段"/>
    <w:next w:val="951"/>
    <w:uiPriority w:val="0"/>
    <w:qFormat/>
    <w:pPr>
      <w:jc w:val="both"/>
      <w:spacing w:line="360" w:lineRule="auto"/>
    </w:pPr>
    <w:rPr>
      <w:rFonts w:ascii="宋体" w:hAnsi="宋体" w:eastAsia="宋体" w:cs="Times New Roman"/>
      <w:sz w:val="24"/>
      <w:szCs w:val="22"/>
      <w:lang w:val="en-US" w:eastAsia="zh-CN" w:bidi="ar-SA"/>
    </w:rPr>
  </w:style>
  <w:style w:type="paragraph" w:styleId="1123" w:customStyle="1">
    <w:name w:val="规范正文"/>
    <w:basedOn w:val="951"/>
    <w:uiPriority w:val="0"/>
    <w:qFormat/>
    <w:pPr>
      <w:ind w:left="480"/>
      <w:spacing w:line="360" w:lineRule="auto"/>
    </w:pPr>
    <w:rPr>
      <w:sz w:val="24"/>
      <w:szCs w:val="20"/>
    </w:rPr>
  </w:style>
  <w:style w:type="paragraph" w:styleId="1124" w:customStyle="1">
    <w:name w:val="正文1"/>
    <w:basedOn w:val="951"/>
    <w:uiPriority w:val="0"/>
    <w:qFormat/>
    <w:pPr>
      <w:contextualSpacing/>
      <w:ind w:firstLine="200"/>
      <w:jc w:val="left"/>
      <w:spacing w:before="120" w:after="120"/>
      <w:widowControl/>
    </w:pPr>
    <w:rPr>
      <w:rFonts w:eastAsia="Adobe 仿宋 Std R"/>
      <w:sz w:val="24"/>
      <w:szCs w:val="21"/>
    </w:rPr>
  </w:style>
  <w:style w:type="paragraph" w:styleId="1125" w:customStyle="1">
    <w:name w:val="纯文本2"/>
    <w:basedOn w:val="951"/>
    <w:uiPriority w:val="0"/>
    <w:qFormat/>
    <w:rPr>
      <w:rFonts w:ascii="宋体" w:hAnsi="Courier New" w:eastAsia="楷体_GB2312"/>
      <w:sz w:val="26"/>
      <w:szCs w:val="20"/>
    </w:rPr>
  </w:style>
  <w:style w:type="paragraph" w:styleId="1126" w:customStyle="1">
    <w:name w:val="xl55"/>
    <w:basedOn w:val="95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7" w:customStyle="1">
    <w:name w:val="Char Char Char Char Char Char Char Char Char1 Char"/>
    <w:basedOn w:val="972"/>
    <w:uiPriority w:val="0"/>
    <w:qFormat/>
    <w:pPr>
      <w:spacing w:line="360" w:lineRule="auto"/>
    </w:pPr>
  </w:style>
  <w:style w:type="paragraph" w:styleId="1128" w:customStyle="1">
    <w:name w:val="Char Char Char Char Char Char Char Char"/>
    <w:basedOn w:val="951"/>
    <w:uiPriority w:val="0"/>
    <w:qFormat/>
  </w:style>
  <w:style w:type="paragraph" w:styleId="1129" w:customStyle="1">
    <w:name w:val="xl59"/>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0" w:customStyle="1">
    <w:name w:val="Char"/>
    <w:basedOn w:val="951"/>
    <w:uiPriority w:val="0"/>
    <w:qFormat/>
    <w:pPr>
      <w:numPr>
        <w:ilvl w:val="0"/>
        <w:numId w:val="4"/>
      </w:numPr>
      <w:ind w:left="960"/>
      <w:tabs>
        <w:tab w:val="clear" w:pos="420" w:leader="none"/>
        <w:tab w:val="left" w:pos="960" w:leader="none"/>
      </w:tabs>
    </w:pPr>
    <w:rPr>
      <w:sz w:val="24"/>
    </w:rPr>
  </w:style>
  <w:style w:type="paragraph" w:styleId="1131" w:customStyle="1">
    <w:name w:val="默认段落字体 Para Char Char Char Char Char Char Char"/>
    <w:basedOn w:val="951"/>
    <w:uiPriority w:val="0"/>
    <w:qFormat/>
    <w:pPr>
      <w:spacing w:line="360" w:lineRule="auto"/>
    </w:pPr>
    <w:rPr>
      <w:rFonts w:ascii="Tahoma" w:hAnsi="Tahoma"/>
      <w:sz w:val="24"/>
      <w:szCs w:val="20"/>
    </w:rPr>
  </w:style>
  <w:style w:type="paragraph" w:styleId="1132" w:customStyle="1">
    <w:name w:val="Char Char Char1 Char Char Char Char"/>
    <w:basedOn w:val="951"/>
    <w:uiPriority w:val="0"/>
    <w:qFormat/>
    <w:pPr>
      <w:jc w:val="left"/>
      <w:spacing w:after="160" w:line="240" w:lineRule="exact"/>
      <w:widowControl/>
    </w:pPr>
    <w:rPr>
      <w:sz w:val="24"/>
    </w:rPr>
  </w:style>
  <w:style w:type="paragraph" w:styleId="1133" w:customStyle="1">
    <w:name w:val="font7"/>
    <w:basedOn w:val="951"/>
    <w:uiPriority w:val="0"/>
    <w:qFormat/>
    <w:pPr>
      <w:jc w:val="left"/>
      <w:spacing w:before="100" w:beforeAutospacing="1" w:after="100" w:afterAutospacing="1"/>
      <w:widowControl/>
    </w:pPr>
    <w:rPr>
      <w:sz w:val="20"/>
      <w:szCs w:val="20"/>
    </w:rPr>
  </w:style>
  <w:style w:type="paragraph" w:styleId="1134" w:customStyle="1">
    <w:name w:val="xl48"/>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35" w:customStyle="1">
    <w:name w:val="xl63"/>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6" w:customStyle="1">
    <w:name w:val="Char Char1"/>
    <w:basedOn w:val="951"/>
    <w:uiPriority w:val="0"/>
    <w:qFormat/>
    <w:pPr>
      <w:jc w:val="left"/>
      <w:spacing w:after="160" w:line="240" w:lineRule="exact"/>
      <w:widowControl/>
    </w:pPr>
    <w:rPr>
      <w:rFonts w:ascii="Verdana" w:hAnsi="Verdana"/>
      <w:sz w:val="20"/>
      <w:szCs w:val="20"/>
      <w:lang w:eastAsia="en-US"/>
    </w:rPr>
  </w:style>
  <w:style w:type="paragraph" w:styleId="1137" w:customStyle="1">
    <w:name w:val="List Paragraph1"/>
    <w:basedOn w:val="951"/>
    <w:uiPriority w:val="0"/>
    <w:qFormat/>
    <w:pPr>
      <w:ind w:firstLine="420"/>
    </w:pPr>
    <w:rPr>
      <w:szCs w:val="20"/>
    </w:rPr>
  </w:style>
  <w:style w:type="paragraph" w:styleId="1138">
    <w:name w:val="List Paragraph"/>
    <w:basedOn w:val="951"/>
    <w:link w:val="1167"/>
    <w:uiPriority w:val="0"/>
    <w:qFormat/>
    <w:pPr>
      <w:ind w:firstLine="420"/>
    </w:pPr>
    <w:rPr>
      <w:szCs w:val="20"/>
    </w:rPr>
  </w:style>
  <w:style w:type="paragraph" w:styleId="1139" w:customStyle="1">
    <w:name w:val="Char1"/>
    <w:basedOn w:val="951"/>
    <w:uiPriority w:val="0"/>
    <w:qFormat/>
    <w:rPr>
      <w:rFonts w:ascii="Tahoma" w:hAnsi="Tahoma"/>
      <w:sz w:val="24"/>
      <w:szCs w:val="20"/>
    </w:rPr>
  </w:style>
  <w:style w:type="paragraph" w:styleId="1140" w:customStyle="1">
    <w:name w:val="Char Char3 Char Char Char Char Char Char Char Char Char Char Char Char Char Char Char Char"/>
    <w:basedOn w:val="951"/>
    <w:uiPriority w:val="0"/>
    <w:qFormat/>
    <w:pPr>
      <w:ind w:firstLine="200"/>
      <w:jc w:val="left"/>
      <w:spacing w:after="160" w:line="360" w:lineRule="auto"/>
      <w:widowControl/>
    </w:pPr>
    <w:rPr>
      <w:rFonts w:ascii="宋体" w:hAnsi="宋体"/>
      <w:sz w:val="24"/>
      <w:szCs w:val="20"/>
    </w:rPr>
  </w:style>
  <w:style w:type="paragraph" w:styleId="1141" w:customStyle="1">
    <w:name w:val="纯文本1"/>
    <w:basedOn w:val="951"/>
    <w:uiPriority w:val="0"/>
    <w:qFormat/>
    <w:pPr>
      <w:jc w:val="left"/>
      <w:widowControl/>
    </w:pPr>
    <w:rPr>
      <w:rFonts w:ascii="宋体" w:hAnsi="Courier New" w:eastAsia="楷体_GB2312"/>
      <w:sz w:val="26"/>
      <w:szCs w:val="20"/>
    </w:rPr>
  </w:style>
  <w:style w:type="paragraph" w:styleId="1142" w:customStyle="1">
    <w:name w:val="xl49"/>
    <w:basedOn w:val="951"/>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43" w:customStyle="1">
    <w:name w:val="xl52"/>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4" w:customStyle="1">
    <w:name w:val="表格标题"/>
    <w:basedOn w:val="951"/>
    <w:uiPriority w:val="0"/>
    <w:qFormat/>
    <w:pPr>
      <w:jc w:val="center"/>
    </w:pPr>
    <w:rPr>
      <w:rFonts w:ascii="宋体" w:hAnsi="宋体" w:cs="宋体"/>
      <w:b/>
      <w:bCs/>
      <w:szCs w:val="20"/>
    </w:rPr>
  </w:style>
  <w:style w:type="paragraph" w:styleId="1145" w:customStyle="1">
    <w:name w:val="xl47"/>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6" w:customStyle="1">
    <w:name w:val="纯文本4"/>
    <w:basedOn w:val="951"/>
    <w:uiPriority w:val="0"/>
    <w:qFormat/>
    <w:rPr>
      <w:rFonts w:ascii="宋体" w:hAnsi="Courier New" w:eastAsia="楷体_GB2312"/>
      <w:sz w:val="28"/>
      <w:szCs w:val="20"/>
    </w:rPr>
  </w:style>
  <w:style w:type="paragraph" w:styleId="1147" w:customStyle="1">
    <w:name w:val="Char Char4 Char Char"/>
    <w:basedOn w:val="951"/>
    <w:uiPriority w:val="0"/>
    <w:qFormat/>
    <w:rPr>
      <w:rFonts w:ascii="Tahoma" w:hAnsi="Tahoma"/>
      <w:sz w:val="24"/>
      <w:szCs w:val="20"/>
    </w:rPr>
  </w:style>
  <w:style w:type="character" w:styleId="1148" w:customStyle="1">
    <w:name w:val="font41"/>
    <w:basedOn w:val="961"/>
    <w:uiPriority w:val="0"/>
    <w:qFormat/>
    <w:rPr>
      <w:rFonts w:ascii="Arial" w:hAnsi="Arial" w:cs="Arial"/>
      <w:b/>
      <w:bCs/>
      <w:color w:val="000000"/>
      <w:sz w:val="28"/>
      <w:szCs w:val="28"/>
      <w:u w:val="none"/>
    </w:rPr>
  </w:style>
  <w:style w:type="character" w:styleId="1149" w:customStyle="1">
    <w:name w:val="font11"/>
    <w:basedOn w:val="961"/>
    <w:uiPriority w:val="0"/>
    <w:qFormat/>
    <w:rPr>
      <w:rFonts w:hint="eastAsia" w:ascii="宋体" w:hAnsi="宋体" w:eastAsia="宋体" w:cs="宋体"/>
      <w:b/>
      <w:bCs/>
      <w:color w:val="000000"/>
      <w:sz w:val="28"/>
      <w:szCs w:val="28"/>
      <w:u w:val="none"/>
    </w:rPr>
  </w:style>
  <w:style w:type="character" w:styleId="1150" w:customStyle="1">
    <w:name w:val="表格 Char Char"/>
    <w:link w:val="1151"/>
    <w:uiPriority w:val="0"/>
    <w:qFormat/>
    <w:rPr>
      <w:rFonts w:ascii="宋体" w:hAnsi="宋体"/>
    </w:rPr>
  </w:style>
  <w:style w:type="paragraph" w:styleId="1151" w:customStyle="1">
    <w:name w:val="表格"/>
    <w:basedOn w:val="951"/>
    <w:link w:val="1150"/>
    <w:uiPriority w:val="0"/>
    <w:qFormat/>
    <w:rPr>
      <w:rFonts w:ascii="宋体" w:hAnsi="宋体"/>
      <w:sz w:val="20"/>
      <w:szCs w:val="20"/>
    </w:rPr>
  </w:style>
  <w:style w:type="character" w:styleId="1152" w:customStyle="1">
    <w:name w:val="标题三自定义 Char"/>
    <w:link w:val="1153"/>
    <w:uiPriority w:val="99"/>
    <w:qFormat/>
    <w:rPr>
      <w:rFonts w:ascii="Calibri" w:hAnsi="Calibri"/>
      <w:sz w:val="21"/>
      <w:szCs w:val="22"/>
    </w:rPr>
  </w:style>
  <w:style w:type="paragraph" w:styleId="1153" w:customStyle="1">
    <w:name w:val="标题三自定义"/>
    <w:basedOn w:val="951"/>
    <w:link w:val="1152"/>
    <w:uiPriority w:val="99"/>
    <w:qFormat/>
    <w:pPr>
      <w:ind w:left="5670" w:hanging="709"/>
      <w:tabs>
        <w:tab w:val="left" w:pos="5812" w:leader="none"/>
      </w:tabs>
    </w:pPr>
    <w:rPr>
      <w:szCs w:val="22"/>
    </w:rPr>
  </w:style>
  <w:style w:type="character" w:styleId="1154" w:customStyle="1">
    <w:name w:val="页脚 Char"/>
    <w:link w:val="986"/>
    <w:uiPriority w:val="99"/>
    <w:qFormat/>
    <w:rPr>
      <w:rFonts w:ascii="Calibri" w:hAnsi="Calibri"/>
      <w:sz w:val="18"/>
      <w:szCs w:val="18"/>
    </w:rPr>
  </w:style>
  <w:style w:type="character" w:styleId="1155" w:customStyle="1">
    <w:name w:val="普通文字1 Char"/>
    <w:uiPriority w:val="0"/>
    <w:qFormat/>
    <w:rPr>
      <w:rFonts w:ascii="宋体" w:hAnsi="Courier New" w:eastAsia="宋体"/>
      <w:sz w:val="21"/>
      <w:szCs w:val="21"/>
      <w:lang w:val="en-US" w:eastAsia="zh-CN" w:bidi="ar-SA"/>
    </w:rPr>
  </w:style>
  <w:style w:type="character" w:styleId="1156" w:customStyle="1">
    <w:name w:val="Table Text Char1"/>
    <w:link w:val="1157"/>
    <w:uiPriority w:val="0"/>
    <w:qFormat/>
    <w:rPr>
      <w:rFonts w:ascii="Arial" w:hAnsi="Arial"/>
      <w:sz w:val="18"/>
      <w:szCs w:val="24"/>
    </w:rPr>
  </w:style>
  <w:style w:type="paragraph" w:styleId="1157" w:customStyle="1">
    <w:name w:val="Table Text"/>
    <w:basedOn w:val="951"/>
    <w:link w:val="1156"/>
    <w:uiPriority w:val="0"/>
    <w:qFormat/>
    <w:pPr>
      <w:spacing w:before="80" w:after="80"/>
      <w:widowControl/>
      <w:tabs>
        <w:tab w:val="decimal" w:pos="0" w:leader="none"/>
      </w:tabs>
    </w:pPr>
    <w:rPr>
      <w:rFonts w:ascii="Arial" w:hAnsi="Arial"/>
      <w:sz w:val="18"/>
    </w:rPr>
  </w:style>
  <w:style w:type="character" w:styleId="1158" w:customStyle="1">
    <w:name w:val="style591"/>
    <w:uiPriority w:val="0"/>
    <w:qFormat/>
    <w:rPr>
      <w:rFonts w:hint="default" w:ascii="Arial" w:hAnsi="Arial" w:cs="Arial"/>
      <w:sz w:val="21"/>
      <w:szCs w:val="21"/>
      <w:u w:val="none"/>
    </w:rPr>
  </w:style>
  <w:style w:type="character" w:styleId="1159" w:customStyle="1">
    <w:name w:val="标题二自定义 Char"/>
    <w:link w:val="1160"/>
    <w:uiPriority w:val="99"/>
    <w:qFormat/>
    <w:rPr>
      <w:rFonts w:ascii="宋体" w:hAnsi="宋体"/>
      <w:bCs/>
      <w:sz w:val="21"/>
      <w:szCs w:val="21"/>
    </w:rPr>
  </w:style>
  <w:style w:type="paragraph" w:styleId="1160" w:customStyle="1">
    <w:name w:val="标题二自定义"/>
    <w:basedOn w:val="953"/>
    <w:next w:val="951"/>
    <w:link w:val="1159"/>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61" w:customStyle="1">
    <w:name w:val="批注主题 Char"/>
    <w:link w:val="964"/>
    <w:uiPriority w:val="99"/>
    <w:qFormat/>
    <w:rPr>
      <w:rFonts w:ascii="Calibri" w:hAnsi="Calibri"/>
      <w:b/>
      <w:bCs/>
      <w:sz w:val="21"/>
      <w:szCs w:val="24"/>
    </w:rPr>
  </w:style>
  <w:style w:type="character" w:styleId="1162" w:customStyle="1">
    <w:name w:val="标题 3 Char"/>
    <w:link w:val="954"/>
    <w:uiPriority w:val="9"/>
    <w:qFormat/>
    <w:rPr>
      <w:rFonts w:ascii="Calibri" w:hAnsi="Calibri"/>
      <w:b/>
      <w:bCs/>
      <w:sz w:val="32"/>
      <w:szCs w:val="32"/>
    </w:rPr>
  </w:style>
  <w:style w:type="character" w:styleId="1163" w:customStyle="1">
    <w:name w:val="p141"/>
    <w:uiPriority w:val="0"/>
    <w:qFormat/>
    <w:rPr>
      <w:color w:val="000000"/>
      <w:sz w:val="28"/>
      <w:szCs w:val="28"/>
      <w:u w:val="none"/>
    </w:rPr>
  </w:style>
  <w:style w:type="character" w:styleId="1164" w:customStyle="1">
    <w:name w:val="lh151"/>
    <w:uiPriority w:val="0"/>
    <w:qFormat/>
    <w:rPr>
      <w:color w:val="666666"/>
    </w:rPr>
  </w:style>
  <w:style w:type="character" w:styleId="1165" w:customStyle="1">
    <w:name w:val="页眉 Char"/>
    <w:link w:val="989"/>
    <w:uiPriority w:val="99"/>
    <w:qFormat/>
    <w:rPr>
      <w:rFonts w:ascii="Calibri" w:hAnsi="Calibri"/>
      <w:sz w:val="18"/>
      <w:szCs w:val="18"/>
    </w:rPr>
  </w:style>
  <w:style w:type="character" w:styleId="1166" w:customStyle="1">
    <w:name w:val="批注框文本 Char"/>
    <w:link w:val="985"/>
    <w:uiPriority w:val="99"/>
    <w:qFormat/>
    <w:rPr>
      <w:rFonts w:ascii="Calibri" w:hAnsi="Calibri"/>
      <w:sz w:val="18"/>
      <w:szCs w:val="18"/>
    </w:rPr>
  </w:style>
  <w:style w:type="character" w:styleId="1167" w:customStyle="1">
    <w:name w:val="列出段落 Char1"/>
    <w:link w:val="1138"/>
    <w:uiPriority w:val="0"/>
    <w:qFormat/>
    <w:rPr>
      <w:rFonts w:ascii="Calibri" w:hAnsi="Calibri"/>
      <w:sz w:val="21"/>
    </w:rPr>
  </w:style>
  <w:style w:type="character" w:styleId="1168" w:customStyle="1">
    <w:name w:val="my正文 Char"/>
    <w:link w:val="1169"/>
    <w:uiPriority w:val="0"/>
    <w:qFormat/>
    <w:rPr>
      <w:sz w:val="24"/>
    </w:rPr>
  </w:style>
  <w:style w:type="paragraph" w:styleId="1169" w:customStyle="1">
    <w:name w:val="my正文"/>
    <w:basedOn w:val="951"/>
    <w:link w:val="1168"/>
    <w:uiPriority w:val="0"/>
    <w:qFormat/>
    <w:pPr>
      <w:ind w:firstLine="480"/>
      <w:spacing w:line="360" w:lineRule="auto"/>
    </w:pPr>
    <w:rPr>
      <w:rFonts w:ascii="Times New Roman" w:hAnsi="Times New Roman"/>
      <w:sz w:val="24"/>
      <w:szCs w:val="20"/>
    </w:rPr>
  </w:style>
  <w:style w:type="character" w:styleId="1170" w:customStyle="1">
    <w:name w:val="已访问的超链接1"/>
    <w:uiPriority w:val="99"/>
    <w:qFormat/>
    <w:rPr>
      <w:color w:val="999999"/>
      <w:u w:val="none"/>
    </w:rPr>
  </w:style>
  <w:style w:type="character" w:styleId="1171" w:customStyle="1">
    <w:name w:val="font31"/>
    <w:uiPriority w:val="0"/>
    <w:qFormat/>
    <w:rPr>
      <w:rFonts w:hint="default" w:ascii="Times New Roman" w:hAnsi="Times New Roman" w:cs="Times New Roman"/>
      <w:color w:val="000000"/>
      <w:sz w:val="21"/>
      <w:szCs w:val="21"/>
      <w:u w:val="none"/>
    </w:rPr>
  </w:style>
  <w:style w:type="character" w:styleId="1172" w:customStyle="1">
    <w:name w:val="font21"/>
    <w:uiPriority w:val="0"/>
    <w:qFormat/>
    <w:rPr>
      <w:rFonts w:hint="eastAsia" w:ascii="宋体" w:hAnsi="宋体" w:eastAsia="宋体" w:cs="宋体"/>
      <w:b/>
      <w:color w:val="000000"/>
      <w:sz w:val="21"/>
      <w:szCs w:val="21"/>
      <w:u w:val="none"/>
    </w:rPr>
  </w:style>
  <w:style w:type="character" w:styleId="1173" w:customStyle="1">
    <w:name w:val="Normal Indent Char"/>
    <w:uiPriority w:val="0"/>
    <w:qFormat/>
    <w:rPr>
      <w:rFonts w:ascii="Times New Roman" w:hAnsi="Times New Roman" w:eastAsia="楷体_GB2312" w:cs="Times New Roman"/>
      <w:sz w:val="20"/>
      <w:szCs w:val="20"/>
    </w:rPr>
  </w:style>
  <w:style w:type="paragraph" w:styleId="1174" w:customStyle="1">
    <w:name w:val="xl531"/>
    <w:basedOn w:val="951"/>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75" w:customStyle="1">
    <w:name w:val="a"/>
    <w:basedOn w:val="951"/>
    <w:uiPriority w:val="0"/>
    <w:qFormat/>
    <w:pPr>
      <w:jc w:val="left"/>
      <w:spacing w:before="100" w:beforeAutospacing="1" w:after="100" w:afterAutospacing="1"/>
      <w:widowControl/>
    </w:pPr>
    <w:rPr>
      <w:rFonts w:ascii="宋体" w:hAnsi="宋体" w:cs="宋体"/>
    </w:rPr>
  </w:style>
  <w:style w:type="paragraph" w:styleId="1176" w:customStyle="1">
    <w:name w:val="xl68"/>
    <w:basedOn w:val="95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77" w:customStyle="1">
    <w:name w:val="正文2"/>
    <w:basedOn w:val="951"/>
    <w:uiPriority w:val="0"/>
    <w:qFormat/>
    <w:pPr>
      <w:ind w:firstLine="200"/>
      <w:jc w:val="left"/>
      <w:spacing w:after="160" w:line="360" w:lineRule="auto"/>
      <w:widowControl/>
    </w:pPr>
    <w:rPr>
      <w:rFonts w:ascii="Verdana" w:hAnsi="Verdana" w:eastAsia="黑体"/>
      <w:szCs w:val="20"/>
      <w:lang w:eastAsia="en-US"/>
    </w:rPr>
  </w:style>
  <w:style w:type="paragraph" w:styleId="1178" w:customStyle="1">
    <w:name w:val="xl510"/>
    <w:basedOn w:val="951"/>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179" w:customStyle="1">
    <w:name w:val="xl516"/>
    <w:basedOn w:val="951"/>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80" w:customStyle="1">
    <w:name w:val="afont"/>
    <w:basedOn w:val="951"/>
    <w:uiPriority w:val="0"/>
    <w:qFormat/>
    <w:pPr>
      <w:jc w:val="left"/>
      <w:spacing w:before="100" w:after="100" w:line="285" w:lineRule="atLeast"/>
      <w:widowControl/>
    </w:pPr>
    <w:rPr>
      <w:rFonts w:ascii="宋体" w:hAnsi="宋体"/>
      <w:sz w:val="18"/>
      <w:szCs w:val="20"/>
    </w:rPr>
  </w:style>
  <w:style w:type="paragraph" w:styleId="1181" w:customStyle="1">
    <w:name w:val="xl513"/>
    <w:basedOn w:val="951"/>
    <w:uiPriority w:val="0"/>
    <w:qFormat/>
    <w:pPr>
      <w:jc w:val="left"/>
      <w:spacing w:before="100" w:beforeAutospacing="1" w:after="100" w:afterAutospacing="1"/>
      <w:shd w:val="clear" w:color="000000" w:fill="ffffff"/>
      <w:widowControl/>
    </w:pPr>
    <w:rPr>
      <w:rFonts w:ascii="宋体" w:hAnsi="宋体" w:cs="宋体"/>
    </w:rPr>
  </w:style>
  <w:style w:type="paragraph" w:styleId="1182" w:customStyle="1">
    <w:name w:val="xl70"/>
    <w:basedOn w:val="95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83" w:customStyle="1">
    <w:name w:val="xl69"/>
    <w:basedOn w:val="95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84" w:customStyle="1">
    <w:name w:val="xl517"/>
    <w:basedOn w:val="951"/>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85" w:customStyle="1">
    <w:name w:val="财政-标题一"/>
    <w:basedOn w:val="951"/>
    <w:uiPriority w:val="0"/>
    <w:qFormat/>
    <w:pPr>
      <w:outlineLvl w:val="0"/>
    </w:pPr>
    <w:rPr>
      <w:rFonts w:eastAsia="华文中宋"/>
      <w:b/>
      <w:sz w:val="44"/>
      <w:szCs w:val="21"/>
    </w:rPr>
  </w:style>
  <w:style w:type="paragraph" w:styleId="1186" w:customStyle="1">
    <w:name w:val="1"/>
    <w:basedOn w:val="951"/>
    <w:uiPriority w:val="0"/>
    <w:qFormat/>
    <w:pPr>
      <w:ind w:left="432" w:hanging="432"/>
      <w:tabs>
        <w:tab w:val="left" w:pos="432" w:leader="none"/>
        <w:tab w:val="left" w:pos="1545" w:leader="none"/>
      </w:tabs>
    </w:pPr>
    <w:rPr>
      <w:rFonts w:ascii="宋体" w:hAnsi="宋体"/>
    </w:rPr>
  </w:style>
  <w:style w:type="paragraph" w:styleId="1187" w:customStyle="1">
    <w:name w:val="表格表头"/>
    <w:basedOn w:val="951"/>
    <w:uiPriority w:val="0"/>
    <w:qFormat/>
    <w:pPr>
      <w:jc w:val="center"/>
      <w:spacing w:line="360" w:lineRule="auto"/>
      <w:outlineLvl w:val="0"/>
    </w:pPr>
    <w:rPr>
      <w:rFonts w:ascii="宋体" w:hAnsi="宋体" w:eastAsia="黑体" w:cs="宋体"/>
      <w:szCs w:val="21"/>
    </w:rPr>
  </w:style>
  <w:style w:type="paragraph" w:styleId="1188" w:customStyle="1">
    <w:name w:val="表格文字"/>
    <w:basedOn w:val="951"/>
    <w:uiPriority w:val="0"/>
    <w:qFormat/>
    <w:rPr>
      <w:rFonts w:ascii="Times New Roman" w:hAnsi="Times New Roman"/>
    </w:rPr>
  </w:style>
  <w:style w:type="paragraph" w:styleId="1189" w:customStyle="1">
    <w:name w:val="xl539"/>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0" w:customStyle="1">
    <w:name w:val="xl73"/>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91" w:customStyle="1">
    <w:name w:val="标题五自定义"/>
    <w:basedOn w:val="951"/>
    <w:uiPriority w:val="0"/>
    <w:qFormat/>
    <w:pPr>
      <w:ind w:left="1985" w:hanging="992"/>
      <w:tabs>
        <w:tab w:val="left" w:pos="1985" w:leader="none"/>
      </w:tabs>
    </w:pPr>
    <w:rPr>
      <w:szCs w:val="22"/>
    </w:rPr>
  </w:style>
  <w:style w:type="paragraph" w:styleId="1192" w:customStyle="1">
    <w:name w:val="xl6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3" w:customStyle="1">
    <w:name w:val="xl532"/>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4" w:customStyle="1">
    <w:name w:val="财政-标题三"/>
    <w:basedOn w:val="1195"/>
    <w:uiPriority w:val="0"/>
    <w:qFormat/>
    <w:pPr>
      <w:outlineLvl w:val="2"/>
    </w:pPr>
    <w:rPr>
      <w:sz w:val="32"/>
    </w:rPr>
  </w:style>
  <w:style w:type="paragraph" w:styleId="1195" w:customStyle="1">
    <w:name w:val="财政-标题二"/>
    <w:basedOn w:val="1185"/>
    <w:uiPriority w:val="0"/>
    <w:qFormat/>
    <w:pPr>
      <w:outlineLvl w:val="1"/>
    </w:pPr>
    <w:rPr>
      <w:sz w:val="36"/>
    </w:rPr>
  </w:style>
  <w:style w:type="paragraph" w:styleId="1196" w:customStyle="1">
    <w:name w:val="Char1 Char Char Char"/>
    <w:basedOn w:val="951"/>
    <w:uiPriority w:val="0"/>
    <w:qFormat/>
    <w:pPr>
      <w:ind w:left="840" w:hanging="420"/>
      <w:tabs>
        <w:tab w:val="left" w:pos="840" w:leader="none"/>
      </w:tabs>
    </w:pPr>
    <w:rPr>
      <w:rFonts w:ascii="Times New Roman" w:hAnsi="Times New Roman"/>
    </w:rPr>
  </w:style>
  <w:style w:type="paragraph" w:styleId="1197" w:customStyle="1">
    <w:name w:val="xl534"/>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98" w:customStyle="1">
    <w:name w:val="正文段"/>
    <w:basedOn w:val="951"/>
    <w:uiPriority w:val="0"/>
    <w:qFormat/>
    <w:pPr>
      <w:ind w:firstLine="454"/>
      <w:spacing w:after="240" w:line="240" w:lineRule="atLeast"/>
      <w:widowControl/>
    </w:pPr>
    <w:rPr>
      <w:rFonts w:ascii="宋体" w:hAnsi="Times New Roman"/>
      <w:szCs w:val="20"/>
    </w:rPr>
  </w:style>
  <w:style w:type="paragraph" w:styleId="1199" w:customStyle="1">
    <w:name w:val="_Style 72"/>
    <w:next w:val="951"/>
    <w:uiPriority w:val="99"/>
    <w:qFormat/>
    <w:pPr>
      <w:jc w:val="both"/>
      <w:widowControl w:val="off"/>
    </w:pPr>
    <w:rPr>
      <w:rFonts w:ascii="宋体" w:hAnsi="宋体" w:eastAsia="宋体" w:cs="Times New Roman"/>
      <w:sz w:val="24"/>
      <w:szCs w:val="24"/>
      <w:lang w:val="en-US" w:eastAsia="zh-CN" w:bidi="ar-SA"/>
    </w:rPr>
  </w:style>
  <w:style w:type="paragraph" w:styleId="1200" w:customStyle="1">
    <w:name w:val="Normal_541"/>
    <w:next w:val="951"/>
    <w:uiPriority w:val="0"/>
    <w:qFormat/>
    <w:pPr>
      <w:jc w:val="both"/>
      <w:widowControl w:val="off"/>
    </w:pPr>
    <w:rPr>
      <w:rFonts w:ascii="Times New Roman" w:hAnsi="Times New Roman" w:eastAsia="宋体" w:cs="Times New Roman"/>
      <w:sz w:val="21"/>
      <w:szCs w:val="21"/>
      <w:lang w:val="en-US" w:eastAsia="zh-CN" w:bidi="ar-SA"/>
    </w:rPr>
  </w:style>
  <w:style w:type="paragraph" w:styleId="1201" w:customStyle="1">
    <w:name w:val="xl522"/>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02" w:customStyle="1">
    <w:name w:val="xl541"/>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3" w:customStyle="1">
    <w:name w:val="xl537"/>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4"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mbria" w:hAnsi="Cambria" w:eastAsia="宋体" w:cs="Times New Roman"/>
      <w:color w:val="000000"/>
      <w:sz w:val="26"/>
      <w:szCs w:val="26"/>
      <w:lang w:val="en-US" w:eastAsia="zh-CN" w:bidi="ar-SA"/>
    </w:rPr>
  </w:style>
  <w:style w:type="paragraph" w:styleId="1205" w:customStyle="1">
    <w:name w:val="xl512"/>
    <w:basedOn w:val="951"/>
    <w:uiPriority w:val="0"/>
    <w:qFormat/>
    <w:pPr>
      <w:jc w:val="center"/>
      <w:spacing w:before="100" w:beforeAutospacing="1" w:after="100" w:afterAutospacing="1"/>
      <w:widowControl/>
    </w:pPr>
    <w:rPr>
      <w:rFonts w:ascii="宋体" w:hAnsi="宋体" w:cs="宋体"/>
      <w:color w:val="000000"/>
    </w:rPr>
  </w:style>
  <w:style w:type="paragraph" w:styleId="1206" w:customStyle="1">
    <w:name w:val="xl71"/>
    <w:basedOn w:val="95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07" w:customStyle="1">
    <w:name w:val="xl509"/>
    <w:basedOn w:val="951"/>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208" w:customStyle="1">
    <w:name w:val="xl528"/>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9" w:customStyle="1">
    <w:name w:val="xl529"/>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0" w:customStyle="1">
    <w:name w:val="xl523"/>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11" w:customStyle="1">
    <w:name w:val="标题一自定义"/>
    <w:basedOn w:val="952"/>
    <w:next w:val="951"/>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212" w:customStyle="1">
    <w:name w:val="TOC 标题1"/>
    <w:basedOn w:val="952"/>
    <w:next w:val="951"/>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213" w:customStyle="1">
    <w:name w:val="xl538"/>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4" w:customStyle="1">
    <w:name w:val="xl527"/>
    <w:basedOn w:val="951"/>
    <w:uiPriority w:val="0"/>
    <w:qFormat/>
    <w:pPr>
      <w:spacing w:before="100" w:beforeAutospacing="1" w:after="100" w:afterAutospacing="1"/>
      <w:widowControl/>
    </w:pPr>
    <w:rPr>
      <w:rFonts w:ascii="宋体" w:hAnsi="宋体" w:cs="宋体"/>
      <w:color w:val="ff0000"/>
    </w:rPr>
  </w:style>
  <w:style w:type="paragraph" w:styleId="1215" w:customStyle="1">
    <w:name w:val="Plain Text*"/>
    <w:basedOn w:val="951"/>
    <w:uiPriority w:val="6"/>
    <w:qFormat/>
    <w:pPr>
      <w:jc w:val="left"/>
      <w:widowControl/>
    </w:pPr>
    <w:rPr>
      <w:rFonts w:ascii="宋体" w:hAnsi="宋体" w:eastAsia="楷体_GB2312" w:cs="Courier New"/>
      <w:sz w:val="26"/>
      <w:szCs w:val="20"/>
      <w:lang w:val="zh-CN"/>
    </w:rPr>
  </w:style>
  <w:style w:type="paragraph" w:styleId="1216" w:customStyle="1">
    <w:name w:val="xl511"/>
    <w:basedOn w:val="951"/>
    <w:uiPriority w:val="0"/>
    <w:qFormat/>
    <w:pPr>
      <w:jc w:val="center"/>
      <w:spacing w:before="100" w:beforeAutospacing="1" w:after="100" w:afterAutospacing="1"/>
      <w:widowControl/>
    </w:pPr>
    <w:rPr>
      <w:rFonts w:ascii="宋体" w:hAnsi="宋体" w:cs="宋体"/>
      <w:color w:val="ff0000"/>
    </w:rPr>
  </w:style>
  <w:style w:type="paragraph" w:styleId="1217" w:customStyle="1">
    <w:name w:val="列出段落3"/>
    <w:basedOn w:val="951"/>
    <w:uiPriority w:val="0"/>
    <w:qFormat/>
    <w:pPr>
      <w:ind w:firstLine="420"/>
    </w:pPr>
    <w:rPr>
      <w:rFonts w:ascii="Times New Roman" w:hAnsi="Times New Roman" w:eastAsia="文鼎CS仿宋体"/>
      <w:spacing w:val="-4"/>
      <w:sz w:val="32"/>
    </w:rPr>
  </w:style>
  <w:style w:type="paragraph" w:styleId="1218" w:customStyle="1">
    <w:name w:val="列出段落2"/>
    <w:basedOn w:val="951"/>
    <w:uiPriority w:val="0"/>
    <w:qFormat/>
    <w:pPr>
      <w:ind w:firstLine="420"/>
    </w:pPr>
    <w:rPr>
      <w:rFonts w:ascii="宋体" w:hAnsi="宋体"/>
    </w:rPr>
  </w:style>
  <w:style w:type="paragraph" w:styleId="1219" w:customStyle="1">
    <w:name w:val="Table Paragraph"/>
    <w:basedOn w:val="951"/>
    <w:uiPriority w:val="1"/>
    <w:qFormat/>
    <w:rPr>
      <w:rFonts w:ascii="宋体" w:hAnsi="宋体"/>
    </w:rPr>
  </w:style>
  <w:style w:type="paragraph" w:styleId="1220" w:customStyle="1">
    <w:name w:val="xl519"/>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21" w:customStyle="1">
    <w:name w:val="xl524"/>
    <w:basedOn w:val="951"/>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22" w:customStyle="1">
    <w:name w:val="标题四自定义"/>
    <w:basedOn w:val="951"/>
    <w:uiPriority w:val="99"/>
    <w:qFormat/>
    <w:pPr>
      <w:ind w:left="738" w:hanging="738"/>
      <w:tabs>
        <w:tab w:val="left" w:pos="1134" w:leader="none"/>
      </w:tabs>
    </w:pPr>
    <w:rPr>
      <w:szCs w:val="22"/>
    </w:rPr>
  </w:style>
  <w:style w:type="paragraph" w:styleId="1223" w:customStyle="1">
    <w:name w:val="font8"/>
    <w:basedOn w:val="951"/>
    <w:uiPriority w:val="0"/>
    <w:qFormat/>
    <w:pPr>
      <w:jc w:val="left"/>
      <w:spacing w:before="100" w:beforeAutospacing="1" w:after="100" w:afterAutospacing="1"/>
      <w:widowControl/>
    </w:pPr>
    <w:rPr>
      <w:rFonts w:ascii="宋体" w:hAnsi="宋体" w:cs="宋体"/>
      <w:sz w:val="18"/>
      <w:szCs w:val="18"/>
    </w:rPr>
  </w:style>
  <w:style w:type="paragraph" w:styleId="1224" w:customStyle="1">
    <w:name w:val="Item Step"/>
    <w:basedOn w:val="951"/>
    <w:uiPriority w:val="0"/>
    <w:qFormat/>
    <w:pPr>
      <w:ind w:left="1701" w:hanging="567"/>
      <w:jc w:val="left"/>
      <w:widowControl/>
      <w:tabs>
        <w:tab w:val="left" w:pos="1440" w:leader="none"/>
      </w:tabs>
    </w:pPr>
    <w:rPr>
      <w:rFonts w:ascii="Times New Roman" w:hAnsi="Times New Roman"/>
    </w:rPr>
  </w:style>
  <w:style w:type="paragraph" w:styleId="1225" w:customStyle="1">
    <w:name w:val="大标题"/>
    <w:basedOn w:val="951"/>
    <w:uiPriority w:val="0"/>
    <w:qFormat/>
    <w:pPr>
      <w:jc w:val="center"/>
    </w:pPr>
    <w:rPr>
      <w:rFonts w:ascii="Times New Roman" w:hAnsi="Times New Roman" w:eastAsia="黑体" w:cs="宋体"/>
      <w:sz w:val="44"/>
      <w:szCs w:val="20"/>
    </w:rPr>
  </w:style>
  <w:style w:type="paragraph" w:styleId="1226" w:customStyle="1">
    <w:name w:val="xl75"/>
    <w:basedOn w:val="951"/>
    <w:uiPriority w:val="0"/>
    <w:qFormat/>
    <w:pPr>
      <w:jc w:val="center"/>
      <w:spacing w:before="100" w:beforeAutospacing="1" w:after="100" w:afterAutospacing="1"/>
      <w:widowControl/>
    </w:pPr>
    <w:rPr>
      <w:rFonts w:ascii="Times New Roman" w:hAnsi="Times New Roman"/>
      <w:szCs w:val="21"/>
    </w:rPr>
  </w:style>
  <w:style w:type="paragraph" w:styleId="1227" w:customStyle="1">
    <w:name w:val="投标文件正文"/>
    <w:basedOn w:val="951"/>
    <w:uiPriority w:val="0"/>
    <w:qFormat/>
    <w:pPr>
      <w:ind w:firstLine="560"/>
      <w:spacing w:line="440" w:lineRule="exact"/>
    </w:pPr>
    <w:rPr>
      <w:rFonts w:ascii="仿宋_GB2312" w:hAnsi="Times New Roman" w:eastAsia="仿宋_GB2312"/>
      <w:bCs/>
      <w:sz w:val="28"/>
      <w:szCs w:val="28"/>
    </w:rPr>
  </w:style>
  <w:style w:type="paragraph" w:styleId="1228" w:customStyle="1">
    <w:name w:val="样式1"/>
    <w:basedOn w:val="952"/>
    <w:uiPriority w:val="0"/>
    <w:qFormat/>
    <w:pPr>
      <w:jc w:val="center"/>
      <w:spacing w:before="120" w:after="120" w:line="480" w:lineRule="auto"/>
    </w:pPr>
    <w:rPr>
      <w:rFonts w:ascii="Times New Roman" w:hAnsi="Times New Roman" w:eastAsia="黑体"/>
      <w:b w:val="0"/>
      <w:iCs/>
      <w:sz w:val="32"/>
      <w:szCs w:val="32"/>
    </w:rPr>
  </w:style>
  <w:style w:type="paragraph" w:styleId="1229" w:customStyle="1">
    <w:name w:val="xl530"/>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0" w:customStyle="1">
    <w:name w:val="财政-标题四"/>
    <w:basedOn w:val="1194"/>
    <w:uiPriority w:val="0"/>
    <w:qFormat/>
    <w:pPr>
      <w:outlineLvl w:val="3"/>
    </w:pPr>
    <w:rPr>
      <w:sz w:val="30"/>
    </w:rPr>
  </w:style>
  <w:style w:type="paragraph" w:styleId="1231" w:customStyle="1">
    <w:name w:val="xl521"/>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2" w:customStyle="1">
    <w:name w:val="xl536"/>
    <w:basedOn w:val="951"/>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3" w:customStyle="1">
    <w:name w:val="xl525"/>
    <w:basedOn w:val="951"/>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4" w:customStyle="1">
    <w:name w:val="列出段落4"/>
    <w:basedOn w:val="951"/>
    <w:uiPriority w:val="0"/>
    <w:qFormat/>
    <w:pPr>
      <w:ind w:firstLine="420"/>
      <w:spacing w:line="360" w:lineRule="auto"/>
    </w:pPr>
    <w:rPr>
      <w:rFonts w:ascii="Times New Roman" w:hAnsi="Times New Roman"/>
      <w:szCs w:val="22"/>
    </w:rPr>
  </w:style>
  <w:style w:type="paragraph" w:styleId="1235" w:customStyle="1">
    <w:name w:val="xl74"/>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6" w:customStyle="1">
    <w:name w:val="xl526"/>
    <w:basedOn w:val="951"/>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7" w:customStyle="1">
    <w:name w:val="正文 New"/>
    <w:uiPriority w:val="0"/>
    <w:qFormat/>
    <w:pPr>
      <w:jc w:val="both"/>
      <w:widowControl w:val="off"/>
    </w:pPr>
    <w:rPr>
      <w:rFonts w:ascii="Cambria" w:hAnsi="Cambria" w:eastAsia="宋体" w:cs="Times New Roman"/>
      <w:sz w:val="21"/>
      <w:szCs w:val="24"/>
      <w:lang w:val="en-US" w:eastAsia="zh-CN" w:bidi="ar-SA"/>
    </w:rPr>
  </w:style>
  <w:style w:type="paragraph" w:styleId="1238" w:customStyle="1">
    <w:name w:val="三级标题3"/>
    <w:basedOn w:val="954"/>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239" w:customStyle="1">
    <w:name w:val="手册正文"/>
    <w:basedOn w:val="951"/>
    <w:uiPriority w:val="0"/>
    <w:qFormat/>
    <w:pPr>
      <w:ind w:firstLine="200"/>
      <w:spacing w:line="500" w:lineRule="exact"/>
    </w:pPr>
    <w:rPr>
      <w:rFonts w:ascii="Arial" w:hAnsi="Arial"/>
      <w:szCs w:val="20"/>
    </w:rPr>
  </w:style>
  <w:style w:type="paragraph" w:styleId="1240" w:customStyle="1">
    <w:name w:val="xl518"/>
    <w:basedOn w:val="951"/>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241" w:customStyle="1">
    <w:name w:val="纯文本11"/>
    <w:basedOn w:val="951"/>
    <w:uiPriority w:val="0"/>
    <w:qFormat/>
    <w:rPr>
      <w:rFonts w:ascii="宋体" w:hAnsi="Courier New" w:eastAsia="楷体_GB2312"/>
      <w:sz w:val="28"/>
      <w:szCs w:val="20"/>
    </w:rPr>
  </w:style>
  <w:style w:type="paragraph" w:styleId="1242" w:customStyle="1">
    <w:name w:val="Bullet"/>
    <w:basedOn w:val="951"/>
    <w:uiPriority w:val="0"/>
    <w:qFormat/>
    <w:pPr>
      <w:ind w:firstLine="420"/>
      <w:spacing w:before="60" w:after="60" w:line="288" w:lineRule="auto"/>
      <w:widowControl/>
    </w:pPr>
    <w:rPr>
      <w:rFonts w:ascii="宋体" w:hAnsi="宋体"/>
      <w:bCs/>
      <w:szCs w:val="21"/>
    </w:rPr>
  </w:style>
  <w:style w:type="paragraph" w:styleId="1243" w:customStyle="1">
    <w:name w:val="xl535"/>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4" w:customStyle="1">
    <w:name w:val="zhengwen3"/>
    <w:basedOn w:val="1177"/>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45" w:customStyle="1">
    <w:name w:val="xl514"/>
    <w:basedOn w:val="951"/>
    <w:uiPriority w:val="0"/>
    <w:qFormat/>
    <w:pPr>
      <w:jc w:val="left"/>
      <w:spacing w:before="100" w:beforeAutospacing="1" w:after="100" w:afterAutospacing="1"/>
      <w:shd w:val="clear" w:color="000000" w:fill="ffffff"/>
      <w:widowControl/>
    </w:pPr>
    <w:rPr>
      <w:rFonts w:ascii="宋体" w:hAnsi="宋体" w:cs="宋体"/>
    </w:rPr>
  </w:style>
  <w:style w:type="paragraph" w:styleId="1246" w:customStyle="1">
    <w:name w:val="xl72"/>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47" w:customStyle="1">
    <w:name w:val="xl520"/>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8">
    <w:name w:val="No Spacing"/>
    <w:basedOn w:val="951"/>
    <w:uiPriority w:val="1"/>
    <w:qFormat/>
    <w:pPr>
      <w:jc w:val="left"/>
      <w:widowControl/>
    </w:pPr>
    <w:rPr>
      <w:sz w:val="24"/>
      <w:szCs w:val="32"/>
      <w:lang w:eastAsia="en-US" w:bidi="en-US"/>
    </w:rPr>
  </w:style>
  <w:style w:type="paragraph" w:styleId="1249" w:customStyle="1">
    <w:name w:val="Javis"/>
    <w:basedOn w:val="951"/>
    <w:uiPriority w:val="0"/>
    <w:qFormat/>
    <w:pPr>
      <w:ind w:left="15" w:right="15" w:firstLine="480"/>
      <w:spacing w:line="360" w:lineRule="auto"/>
    </w:pPr>
    <w:rPr>
      <w:rFonts w:ascii="Times New Roman" w:hAnsi="Times New Roman" w:cs="宋体"/>
      <w:szCs w:val="20"/>
    </w:rPr>
  </w:style>
  <w:style w:type="paragraph" w:styleId="1250" w:customStyle="1">
    <w:name w:val="样式 正文文本缩进 2 + Times New Roman 首行缩进:  1.06 厘米 行距: 固定值 30 磅"/>
    <w:basedOn w:val="984"/>
    <w:uiPriority w:val="0"/>
    <w:qFormat/>
    <w:pPr>
      <w:ind w:left="0" w:firstLine="601"/>
      <w:spacing w:line="540" w:lineRule="exact"/>
      <w:tabs>
        <w:tab w:val="clear" w:pos="630" w:leader="none"/>
      </w:tabs>
    </w:pPr>
    <w:rPr>
      <w:rFonts w:ascii="Times New Roman" w:hAnsi="Times New Roman"/>
      <w:sz w:val="28"/>
      <w:szCs w:val="28"/>
    </w:rPr>
  </w:style>
  <w:style w:type="paragraph" w:styleId="1251" w:customStyle="1">
    <w:name w:val="xl515"/>
    <w:basedOn w:val="95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52" w:customStyle="1">
    <w:name w:val="列出段落111"/>
    <w:basedOn w:val="951"/>
    <w:uiPriority w:val="0"/>
    <w:qFormat/>
    <w:pPr>
      <w:ind w:firstLine="420"/>
    </w:pPr>
    <w:rPr>
      <w:szCs w:val="20"/>
    </w:rPr>
  </w:style>
  <w:style w:type="paragraph" w:styleId="1253" w:customStyle="1">
    <w:name w:val="xl540"/>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54" w:customStyle="1">
    <w:name w:val="p25"/>
    <w:basedOn w:val="951"/>
    <w:uiPriority w:val="0"/>
    <w:qFormat/>
    <w:pPr>
      <w:jc w:val="left"/>
      <w:widowControl/>
    </w:pPr>
    <w:rPr>
      <w:rFonts w:ascii="黑体" w:hAnsi="黑体" w:eastAsia="黑体" w:cs="黑体"/>
      <w:sz w:val="26"/>
      <w:szCs w:val="26"/>
    </w:rPr>
  </w:style>
  <w:style w:type="paragraph" w:styleId="1255" w:customStyle="1">
    <w:name w:val="xl533"/>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6" w:customStyle="1">
    <w:name w:val="正文文本缩进11"/>
    <w:basedOn w:val="951"/>
    <w:next w:val="951"/>
    <w:uiPriority w:val="0"/>
    <w:qFormat/>
    <w:pPr>
      <w:ind w:firstLine="420"/>
      <w:spacing w:line="360" w:lineRule="exact"/>
    </w:pPr>
    <w:rPr>
      <w:sz w:val="24"/>
    </w:rPr>
  </w:style>
  <w:style w:type="numbering" w:styleId="12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金健</cp:lastModifiedBy>
  <cp:revision>46</cp:revision>
  <dcterms:created xsi:type="dcterms:W3CDTF">2021-03-04T03:22:00Z</dcterms:created>
  <dcterms:modified xsi:type="dcterms:W3CDTF">2026-07-15T08:57:14Z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97C4457AA65B4134BE25B045CD1550B9_13</vt:lpwstr>
  </property>
</Properties>
</file>